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7D" w:rsidRPr="00AE3FF9" w:rsidRDefault="00304E7D" w:rsidP="00304E7D">
      <w:pPr>
        <w:pStyle w:val="Header"/>
        <w:rPr>
          <w:rFonts w:eastAsiaTheme="minorEastAsia" w:cs="Arial"/>
          <w:bCs/>
          <w:sz w:val="28"/>
          <w:szCs w:val="28"/>
          <w:lang w:eastAsia="zh-CN"/>
        </w:rPr>
      </w:pPr>
      <w:r w:rsidRPr="00304E7D">
        <w:rPr>
          <w:rFonts w:cs="Arial"/>
          <w:bCs/>
          <w:sz w:val="28"/>
        </w:rPr>
        <w:t>3GPP TSG RAN WG1 Meeting #8</w:t>
      </w:r>
      <w:r w:rsidR="00AE3FF9">
        <w:rPr>
          <w:rFonts w:eastAsiaTheme="minorEastAsia" w:cs="Arial" w:hint="eastAsia"/>
          <w:bCs/>
          <w:sz w:val="28"/>
          <w:lang w:eastAsia="zh-CN"/>
        </w:rPr>
        <w:t>9</w:t>
      </w:r>
      <w:r w:rsidRPr="00304E7D">
        <w:rPr>
          <w:rFonts w:cs="Arial" w:hint="eastAsia"/>
          <w:bCs/>
          <w:sz w:val="28"/>
        </w:rPr>
        <w:t xml:space="preserve">                 </w:t>
      </w:r>
      <w:r w:rsidRPr="00304E7D">
        <w:rPr>
          <w:rFonts w:cs="Arial" w:hint="eastAsia"/>
          <w:bCs/>
          <w:sz w:val="28"/>
          <w:lang w:eastAsia="ja-JP"/>
        </w:rPr>
        <w:t xml:space="preserve">     </w:t>
      </w:r>
      <w:r w:rsidRPr="00304E7D">
        <w:rPr>
          <w:rFonts w:eastAsiaTheme="minorEastAsia" w:cs="Arial" w:hint="eastAsia"/>
          <w:bCs/>
          <w:sz w:val="28"/>
        </w:rPr>
        <w:t xml:space="preserve"> </w:t>
      </w:r>
      <w:r w:rsidR="009B368D">
        <w:rPr>
          <w:rFonts w:cs="Arial" w:hint="eastAsia"/>
          <w:bCs/>
          <w:sz w:val="28"/>
          <w:lang w:eastAsia="ja-JP"/>
        </w:rPr>
        <w:t xml:space="preserve">              </w:t>
      </w:r>
      <w:r w:rsidR="001E000C" w:rsidRPr="001E000C">
        <w:rPr>
          <w:rFonts w:cs="Arial"/>
          <w:bCs/>
          <w:sz w:val="28"/>
          <w:szCs w:val="28"/>
        </w:rPr>
        <w:t>R1-17</w:t>
      </w:r>
      <w:r w:rsidR="006E30E5">
        <w:rPr>
          <w:rFonts w:eastAsiaTheme="minorEastAsia" w:cs="Arial"/>
          <w:bCs/>
          <w:sz w:val="28"/>
          <w:szCs w:val="28"/>
          <w:lang w:eastAsia="zh-CN"/>
        </w:rPr>
        <w:t>07162</w:t>
      </w:r>
    </w:p>
    <w:p w:rsidR="00304E7D" w:rsidRPr="00304E7D" w:rsidRDefault="006E30E5" w:rsidP="00304E7D">
      <w:pPr>
        <w:pStyle w:val="Header"/>
        <w:rPr>
          <w:rFonts w:cs="Arial"/>
          <w:bCs/>
          <w:sz w:val="28"/>
          <w:lang w:eastAsia="ja-JP"/>
        </w:rPr>
      </w:pPr>
      <w:r>
        <w:rPr>
          <w:rFonts w:eastAsiaTheme="minorEastAsia" w:cs="Arial"/>
          <w:bCs/>
          <w:sz w:val="28"/>
          <w:lang w:eastAsia="zh-CN"/>
        </w:rPr>
        <w:t>Hangzhou</w:t>
      </w:r>
      <w:r w:rsidR="001E000C" w:rsidRPr="00620C4D">
        <w:rPr>
          <w:rFonts w:cs="Arial"/>
          <w:bCs/>
          <w:sz w:val="28"/>
        </w:rPr>
        <w:t>,</w:t>
      </w:r>
      <w:r>
        <w:rPr>
          <w:rFonts w:cs="Arial"/>
          <w:bCs/>
          <w:sz w:val="28"/>
        </w:rPr>
        <w:t xml:space="preserve"> </w:t>
      </w:r>
      <w:r w:rsidR="00ED70F6">
        <w:rPr>
          <w:rFonts w:cs="Arial"/>
          <w:bCs/>
          <w:sz w:val="28"/>
        </w:rPr>
        <w:t xml:space="preserve">P.R. </w:t>
      </w:r>
      <w:r>
        <w:rPr>
          <w:rFonts w:cs="Arial"/>
          <w:bCs/>
          <w:sz w:val="28"/>
        </w:rPr>
        <w:t>China</w:t>
      </w:r>
      <w:r w:rsidR="001E000C" w:rsidRPr="00620C4D">
        <w:rPr>
          <w:rFonts w:cs="Arial"/>
          <w:bCs/>
          <w:sz w:val="28"/>
        </w:rPr>
        <w:t xml:space="preserve"> </w:t>
      </w:r>
      <w:r w:rsidR="00AE3FF9">
        <w:rPr>
          <w:rFonts w:eastAsiaTheme="minorEastAsia" w:cs="Arial" w:hint="eastAsia"/>
          <w:bCs/>
          <w:sz w:val="28"/>
          <w:lang w:eastAsia="zh-CN"/>
        </w:rPr>
        <w:t>15</w:t>
      </w:r>
      <w:r w:rsidR="00AE3FF9">
        <w:rPr>
          <w:rFonts w:eastAsiaTheme="minorEastAsia" w:cs="Arial" w:hint="eastAsia"/>
          <w:bCs/>
          <w:sz w:val="28"/>
          <w:vertAlign w:val="superscript"/>
          <w:lang w:eastAsia="zh-CN"/>
        </w:rPr>
        <w:t>th</w:t>
      </w:r>
      <w:r w:rsidR="001E000C" w:rsidRPr="00620C4D">
        <w:rPr>
          <w:rFonts w:cs="Arial" w:hint="eastAsia"/>
          <w:bCs/>
          <w:sz w:val="28"/>
          <w:lang w:eastAsia="ja-JP"/>
        </w:rPr>
        <w:t xml:space="preserve"> </w:t>
      </w:r>
      <w:r w:rsidR="00304E7D" w:rsidRPr="00304E7D">
        <w:rPr>
          <w:rFonts w:cs="Arial"/>
          <w:bCs/>
          <w:sz w:val="28"/>
        </w:rPr>
        <w:t xml:space="preserve">- </w:t>
      </w:r>
      <w:r w:rsidR="00AE3FF9">
        <w:rPr>
          <w:rFonts w:eastAsiaTheme="minorEastAsia" w:cs="Arial" w:hint="eastAsia"/>
          <w:bCs/>
          <w:sz w:val="28"/>
          <w:lang w:eastAsia="zh-CN"/>
        </w:rPr>
        <w:t>19</w:t>
      </w:r>
      <w:r w:rsidR="00304E7D" w:rsidRPr="00304E7D">
        <w:rPr>
          <w:rFonts w:cs="Arial"/>
          <w:bCs/>
          <w:sz w:val="28"/>
          <w:vertAlign w:val="superscript"/>
        </w:rPr>
        <w:t>th</w:t>
      </w:r>
      <w:r w:rsidR="00304E7D" w:rsidRPr="00304E7D">
        <w:rPr>
          <w:rFonts w:cs="Arial"/>
          <w:bCs/>
          <w:sz w:val="28"/>
        </w:rPr>
        <w:t xml:space="preserve"> </w:t>
      </w:r>
      <w:r w:rsidR="00AE3FF9">
        <w:rPr>
          <w:rFonts w:eastAsiaTheme="minorEastAsia" w:cs="Arial" w:hint="eastAsia"/>
          <w:bCs/>
          <w:sz w:val="28"/>
          <w:lang w:eastAsia="zh-CN"/>
        </w:rPr>
        <w:t>May</w:t>
      </w:r>
      <w:r w:rsidR="00304E7D" w:rsidRPr="00304E7D">
        <w:rPr>
          <w:rFonts w:cs="Arial"/>
          <w:bCs/>
          <w:sz w:val="28"/>
        </w:rPr>
        <w:t xml:space="preserve"> 201</w:t>
      </w:r>
      <w:r w:rsidR="00304E7D" w:rsidRPr="00304E7D">
        <w:rPr>
          <w:rFonts w:cs="Arial" w:hint="eastAsia"/>
          <w:bCs/>
          <w:sz w:val="28"/>
          <w:lang w:eastAsia="ja-JP"/>
        </w:rPr>
        <w:t>7</w:t>
      </w:r>
    </w:p>
    <w:p w:rsidR="002538C0" w:rsidRPr="00B90B20" w:rsidRDefault="002538C0" w:rsidP="002538C0">
      <w:pPr>
        <w:pStyle w:val="Header"/>
        <w:tabs>
          <w:tab w:val="clear" w:pos="4536"/>
        </w:tabs>
        <w:rPr>
          <w:rFonts w:eastAsia="宋体"/>
          <w:sz w:val="22"/>
          <w:szCs w:val="22"/>
          <w:lang w:eastAsia="zh-CN"/>
        </w:rPr>
      </w:pPr>
    </w:p>
    <w:p w:rsidR="009E02B9" w:rsidRDefault="002538C0" w:rsidP="00ED70F6">
      <w:pPr>
        <w:pStyle w:val="Header"/>
        <w:tabs>
          <w:tab w:val="left" w:pos="1800"/>
        </w:tabs>
        <w:spacing w:line="312" w:lineRule="auto"/>
        <w:ind w:left="1833" w:hangingChars="833" w:hanging="1833"/>
        <w:rPr>
          <w:rFonts w:eastAsia="宋体"/>
          <w:sz w:val="22"/>
          <w:szCs w:val="22"/>
          <w:lang w:eastAsia="zh-CN"/>
        </w:rPr>
      </w:pPr>
      <w:r w:rsidRPr="003B61E4">
        <w:rPr>
          <w:rFonts w:eastAsia="宋体"/>
          <w:sz w:val="22"/>
          <w:szCs w:val="22"/>
          <w:lang w:eastAsia="zh-CN"/>
        </w:rPr>
        <w:t xml:space="preserve">Source: </w:t>
      </w:r>
      <w:r w:rsidRPr="003B61E4">
        <w:rPr>
          <w:rFonts w:eastAsia="宋体"/>
          <w:sz w:val="22"/>
          <w:szCs w:val="22"/>
          <w:lang w:eastAsia="zh-CN"/>
        </w:rPr>
        <w:tab/>
      </w:r>
      <w:r w:rsidR="00135780" w:rsidRPr="003B61E4">
        <w:rPr>
          <w:rFonts w:eastAsia="宋体"/>
          <w:sz w:val="22"/>
          <w:szCs w:val="22"/>
          <w:lang w:eastAsia="zh-CN"/>
        </w:rPr>
        <w:t>ZTE</w:t>
      </w:r>
    </w:p>
    <w:p w:rsidR="009E02B9" w:rsidRDefault="002538C0" w:rsidP="00ED70F6">
      <w:pPr>
        <w:pStyle w:val="Header"/>
        <w:tabs>
          <w:tab w:val="left" w:pos="1800"/>
        </w:tabs>
        <w:spacing w:line="312" w:lineRule="auto"/>
        <w:ind w:left="1833" w:hangingChars="833" w:hanging="1833"/>
        <w:rPr>
          <w:rFonts w:eastAsia="宋体"/>
          <w:sz w:val="22"/>
          <w:szCs w:val="22"/>
          <w:lang w:eastAsia="zh-CN"/>
        </w:rPr>
      </w:pPr>
      <w:r w:rsidRPr="00523C4F">
        <w:rPr>
          <w:rFonts w:eastAsia="宋体" w:hint="eastAsia"/>
          <w:sz w:val="22"/>
          <w:szCs w:val="22"/>
          <w:lang w:eastAsia="zh-CN"/>
        </w:rPr>
        <w:t>Title</w:t>
      </w:r>
      <w:r w:rsidRPr="003B61E4">
        <w:rPr>
          <w:rFonts w:eastAsia="宋体"/>
          <w:sz w:val="22"/>
          <w:szCs w:val="22"/>
          <w:lang w:eastAsia="zh-CN"/>
        </w:rPr>
        <w:t>:</w:t>
      </w:r>
      <w:r w:rsidRPr="00523C4F">
        <w:rPr>
          <w:rFonts w:eastAsia="宋体" w:hint="eastAsia"/>
          <w:sz w:val="22"/>
          <w:szCs w:val="22"/>
          <w:lang w:eastAsia="zh-CN"/>
        </w:rPr>
        <w:tab/>
      </w:r>
      <w:r w:rsidR="00397796">
        <w:rPr>
          <w:rFonts w:eastAsia="宋体" w:hint="eastAsia"/>
          <w:sz w:val="22"/>
          <w:szCs w:val="22"/>
          <w:lang w:eastAsia="zh-CN"/>
        </w:rPr>
        <w:t xml:space="preserve">PDCCH </w:t>
      </w:r>
      <w:r w:rsidR="006A7CB9">
        <w:rPr>
          <w:rFonts w:eastAsia="宋体"/>
          <w:sz w:val="22"/>
          <w:szCs w:val="22"/>
          <w:lang w:eastAsia="zh-CN"/>
        </w:rPr>
        <w:t>m</w:t>
      </w:r>
      <w:r w:rsidR="00397796">
        <w:rPr>
          <w:rFonts w:eastAsia="宋体" w:hint="eastAsia"/>
          <w:sz w:val="22"/>
          <w:szCs w:val="22"/>
          <w:lang w:eastAsia="zh-CN"/>
        </w:rPr>
        <w:t>onitor</w:t>
      </w:r>
      <w:r w:rsidR="006A7CB9">
        <w:rPr>
          <w:rFonts w:eastAsia="宋体"/>
          <w:sz w:val="22"/>
          <w:szCs w:val="22"/>
          <w:lang w:eastAsia="zh-CN"/>
        </w:rPr>
        <w:t>ing</w:t>
      </w:r>
      <w:r w:rsidR="00397796">
        <w:rPr>
          <w:rFonts w:eastAsia="宋体" w:hint="eastAsia"/>
          <w:sz w:val="22"/>
          <w:szCs w:val="22"/>
          <w:lang w:eastAsia="zh-CN"/>
        </w:rPr>
        <w:t xml:space="preserve"> </w:t>
      </w:r>
      <w:r w:rsidR="006A7CB9">
        <w:rPr>
          <w:rFonts w:eastAsia="宋体"/>
          <w:sz w:val="22"/>
          <w:szCs w:val="22"/>
          <w:lang w:eastAsia="zh-CN"/>
        </w:rPr>
        <w:t>for s</w:t>
      </w:r>
      <w:r w:rsidR="00397796">
        <w:rPr>
          <w:rFonts w:eastAsia="宋体" w:hint="eastAsia"/>
          <w:sz w:val="22"/>
          <w:szCs w:val="22"/>
          <w:lang w:eastAsia="zh-CN"/>
        </w:rPr>
        <w:t>lot</w:t>
      </w:r>
      <w:r w:rsidR="006A7CB9">
        <w:rPr>
          <w:rFonts w:eastAsia="宋体"/>
          <w:sz w:val="22"/>
          <w:szCs w:val="22"/>
          <w:lang w:eastAsia="zh-CN"/>
        </w:rPr>
        <w:t>s</w:t>
      </w:r>
      <w:r w:rsidR="00397796">
        <w:rPr>
          <w:rFonts w:eastAsia="宋体" w:hint="eastAsia"/>
          <w:sz w:val="22"/>
          <w:szCs w:val="22"/>
          <w:lang w:eastAsia="zh-CN"/>
        </w:rPr>
        <w:t xml:space="preserve"> and </w:t>
      </w:r>
      <w:r w:rsidR="006A7CB9">
        <w:rPr>
          <w:rFonts w:eastAsia="宋体"/>
          <w:sz w:val="22"/>
          <w:szCs w:val="22"/>
          <w:lang w:eastAsia="zh-CN"/>
        </w:rPr>
        <w:t>m</w:t>
      </w:r>
      <w:r w:rsidR="00397796">
        <w:rPr>
          <w:rFonts w:eastAsia="宋体" w:hint="eastAsia"/>
          <w:sz w:val="22"/>
          <w:szCs w:val="22"/>
          <w:lang w:eastAsia="zh-CN"/>
        </w:rPr>
        <w:t>ini-slot</w:t>
      </w:r>
      <w:r w:rsidR="006A7CB9">
        <w:rPr>
          <w:rFonts w:eastAsia="宋体"/>
          <w:sz w:val="22"/>
          <w:szCs w:val="22"/>
          <w:lang w:eastAsia="zh-CN"/>
        </w:rPr>
        <w:t>s</w:t>
      </w:r>
      <w:r w:rsidR="00EC387C">
        <w:rPr>
          <w:rFonts w:eastAsia="宋体" w:hint="eastAsia"/>
          <w:sz w:val="22"/>
          <w:szCs w:val="22"/>
          <w:lang w:eastAsia="zh-CN"/>
        </w:rPr>
        <w:t xml:space="preserve">                         </w:t>
      </w:r>
    </w:p>
    <w:p w:rsidR="009E02B9" w:rsidRDefault="002538C0" w:rsidP="00ED70F6">
      <w:pPr>
        <w:pStyle w:val="Header"/>
        <w:tabs>
          <w:tab w:val="left" w:pos="1800"/>
        </w:tabs>
        <w:spacing w:line="312" w:lineRule="auto"/>
        <w:ind w:left="1833" w:hangingChars="833" w:hanging="1833"/>
        <w:rPr>
          <w:rFonts w:eastAsia="宋体"/>
          <w:sz w:val="22"/>
          <w:szCs w:val="22"/>
          <w:lang w:eastAsia="zh-CN"/>
        </w:rPr>
      </w:pPr>
      <w:r w:rsidRPr="003B61E4"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 w:rsidRPr="003B61E4">
        <w:rPr>
          <w:rFonts w:eastAsia="宋体"/>
          <w:sz w:val="22"/>
          <w:szCs w:val="22"/>
          <w:lang w:eastAsia="zh-CN"/>
        </w:rPr>
        <w:tab/>
      </w:r>
      <w:r w:rsidR="00AE3FF9">
        <w:rPr>
          <w:rFonts w:eastAsia="宋体" w:hint="eastAsia"/>
          <w:sz w:val="22"/>
          <w:szCs w:val="22"/>
          <w:lang w:eastAsia="zh-CN"/>
        </w:rPr>
        <w:t>7</w:t>
      </w:r>
      <w:r w:rsidR="009B368D">
        <w:rPr>
          <w:rFonts w:eastAsia="宋体"/>
          <w:sz w:val="22"/>
          <w:szCs w:val="22"/>
          <w:lang w:eastAsia="zh-CN"/>
        </w:rPr>
        <w:t>.1.3.1.</w:t>
      </w:r>
      <w:r w:rsidR="00656DAC">
        <w:rPr>
          <w:rFonts w:eastAsia="宋体" w:hint="eastAsia"/>
          <w:sz w:val="22"/>
          <w:szCs w:val="22"/>
          <w:lang w:eastAsia="zh-CN"/>
        </w:rPr>
        <w:t>2</w:t>
      </w:r>
    </w:p>
    <w:p w:rsidR="002538C0" w:rsidRPr="00523C4F" w:rsidRDefault="002538C0" w:rsidP="002538C0">
      <w:pPr>
        <w:pStyle w:val="Header"/>
        <w:tabs>
          <w:tab w:val="left" w:pos="1800"/>
        </w:tabs>
        <w:spacing w:line="312" w:lineRule="auto"/>
        <w:rPr>
          <w:rFonts w:eastAsia="宋体"/>
          <w:sz w:val="22"/>
          <w:szCs w:val="22"/>
          <w:lang w:eastAsia="zh-CN"/>
        </w:rPr>
      </w:pPr>
      <w:r w:rsidRPr="003B61E4">
        <w:rPr>
          <w:rFonts w:eastAsia="宋体"/>
          <w:sz w:val="22"/>
          <w:szCs w:val="22"/>
          <w:lang w:eastAsia="zh-CN"/>
        </w:rPr>
        <w:t>Document for:</w:t>
      </w:r>
      <w:r w:rsidRPr="003B61E4">
        <w:rPr>
          <w:rFonts w:eastAsia="宋体"/>
          <w:sz w:val="22"/>
          <w:szCs w:val="22"/>
          <w:lang w:eastAsia="zh-CN"/>
        </w:rPr>
        <w:tab/>
      </w:r>
      <w:bookmarkStart w:id="1" w:name="DocumentFor"/>
      <w:bookmarkEnd w:id="1"/>
      <w:r w:rsidRPr="003B61E4">
        <w:rPr>
          <w:rFonts w:eastAsia="宋体"/>
          <w:sz w:val="22"/>
          <w:szCs w:val="22"/>
          <w:lang w:eastAsia="zh-CN"/>
        </w:rPr>
        <w:t xml:space="preserve">Discussion </w:t>
      </w:r>
      <w:r w:rsidRPr="00523C4F">
        <w:rPr>
          <w:rFonts w:eastAsia="宋体" w:hint="eastAsia"/>
          <w:sz w:val="22"/>
          <w:szCs w:val="22"/>
          <w:lang w:eastAsia="zh-CN"/>
        </w:rPr>
        <w:t>and Decision</w:t>
      </w:r>
    </w:p>
    <w:p w:rsidR="002538C0" w:rsidRPr="003C7FD5" w:rsidRDefault="002538C0" w:rsidP="002538C0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</w:rPr>
      </w:pPr>
    </w:p>
    <w:p w:rsidR="0076143A" w:rsidRPr="0076143A" w:rsidRDefault="002538C0" w:rsidP="00ED7BF1">
      <w:pPr>
        <w:pStyle w:val="Heading1"/>
        <w:rPr>
          <w:lang w:val="en-US"/>
        </w:rPr>
      </w:pPr>
      <w:r w:rsidRPr="00ED7BF1">
        <w:t>Introduction</w:t>
      </w:r>
      <w:r w:rsidR="00B66A05" w:rsidRPr="009A2393">
        <w:rPr>
          <w:rFonts w:hint="eastAsia"/>
          <w:lang w:val="en-US"/>
        </w:rPr>
        <w:t xml:space="preserve">  </w:t>
      </w:r>
    </w:p>
    <w:p w:rsidR="0076143A" w:rsidRDefault="006A7CB9" w:rsidP="0076143A">
      <w:r>
        <w:t>Following agreement</w:t>
      </w:r>
      <w:r w:rsidR="006D1BA6">
        <w:rPr>
          <w:rFonts w:hint="eastAsia"/>
        </w:rPr>
        <w:t>s</w:t>
      </w:r>
      <w:r>
        <w:t xml:space="preserve"> ha</w:t>
      </w:r>
      <w:r w:rsidR="006D1BA6">
        <w:rPr>
          <w:rFonts w:hint="eastAsia"/>
        </w:rPr>
        <w:t>ve</w:t>
      </w:r>
      <w:r>
        <w:t xml:space="preserve"> been made for the PDCCH </w:t>
      </w:r>
      <w:r w:rsidR="006E30E5">
        <w:t>monitoring</w:t>
      </w:r>
      <w:r>
        <w:t xml:space="preserve"> </w:t>
      </w:r>
      <w:r w:rsidR="00397796">
        <w:rPr>
          <w:rFonts w:hint="eastAsia"/>
        </w:rPr>
        <w:t xml:space="preserve">in </w:t>
      </w:r>
      <w:r>
        <w:t>the RAN1#</w:t>
      </w:r>
      <w:r w:rsidR="00397796">
        <w:rPr>
          <w:rFonts w:hint="eastAsia"/>
        </w:rPr>
        <w:t>88bis</w:t>
      </w:r>
      <w:r w:rsidR="006D1BA6">
        <w:rPr>
          <w:rFonts w:hint="eastAsia"/>
        </w:rPr>
        <w:t xml:space="preserve"> </w:t>
      </w:r>
      <w:r w:rsidR="0076143A">
        <w:rPr>
          <w:rFonts w:hint="eastAsia"/>
        </w:rPr>
        <w:t>meeting</w:t>
      </w:r>
      <w:r w:rsidR="00ED70F6">
        <w:t xml:space="preserve"> </w:t>
      </w:r>
      <w:r w:rsidR="00155F69">
        <w:rPr>
          <w:rFonts w:hint="eastAsia"/>
        </w:rPr>
        <w:t>[1]</w:t>
      </w:r>
      <w:r>
        <w:t>.</w:t>
      </w:r>
    </w:p>
    <w:tbl>
      <w:tblPr>
        <w:tblStyle w:val="TableGrid"/>
        <w:tblW w:w="0" w:type="auto"/>
        <w:tblLook w:val="04A0"/>
      </w:tblPr>
      <w:tblGrid>
        <w:gridCol w:w="9500"/>
      </w:tblGrid>
      <w:tr w:rsidR="006A7CB9" w:rsidTr="006A7CB9">
        <w:tc>
          <w:tcPr>
            <w:tcW w:w="9500" w:type="dxa"/>
          </w:tcPr>
          <w:p w:rsidR="006A7CB9" w:rsidRPr="00DE3F7B" w:rsidRDefault="006A7CB9" w:rsidP="006A7CB9">
            <w:pPr>
              <w:outlineLvl w:val="0"/>
              <w:rPr>
                <w:rFonts w:eastAsia="MS Mincho"/>
                <w:b/>
                <w:szCs w:val="20"/>
                <w:highlight w:val="darkYellow"/>
                <w:u w:val="single"/>
                <w:lang w:eastAsia="ja-JP"/>
              </w:rPr>
            </w:pPr>
            <w:r w:rsidRPr="00DE3F7B"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Agreement</w:t>
            </w:r>
            <w:r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:</w:t>
            </w:r>
          </w:p>
          <w:p w:rsidR="006A7CB9" w:rsidRPr="00BC742B" w:rsidRDefault="006A7CB9" w:rsidP="006A7CB9">
            <w:pPr>
              <w:numPr>
                <w:ilvl w:val="0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 xml:space="preserve">UE can be configured to 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“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monitor DL control channel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”</w:t>
            </w:r>
            <w:r w:rsidRPr="00BC742B">
              <w:rPr>
                <w:rFonts w:eastAsia="MS Mincho" w:hint="eastAsia"/>
                <w:szCs w:val="20"/>
                <w:lang w:eastAsia="ja-JP"/>
              </w:rPr>
              <w:t xml:space="preserve"> in terms of slot or OFDM symbol with respect to the numerology of the DL control channel</w:t>
            </w:r>
            <w:r>
              <w:rPr>
                <w:rFonts w:hint="eastAsia"/>
                <w:szCs w:val="20"/>
              </w:rPr>
              <w:t xml:space="preserve"> </w:t>
            </w:r>
          </w:p>
          <w:p w:rsidR="006A7CB9" w:rsidRPr="00BC742B" w:rsidRDefault="006A7CB9" w:rsidP="006A7CB9">
            <w:pPr>
              <w:numPr>
                <w:ilvl w:val="1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 xml:space="preserve">Specification supports occasion of 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“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DL control channel monitoring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”</w:t>
            </w:r>
            <w:r w:rsidRPr="00BC742B">
              <w:rPr>
                <w:rFonts w:eastAsia="MS Mincho" w:hint="eastAsia"/>
                <w:szCs w:val="20"/>
                <w:lang w:eastAsia="ja-JP"/>
              </w:rPr>
              <w:t xml:space="preserve"> per 1 symbol with respect to the numerology of the DL control channel</w:t>
            </w:r>
          </w:p>
          <w:p w:rsidR="006A7CB9" w:rsidRPr="00BC742B" w:rsidRDefault="006A7CB9" w:rsidP="006A7CB9">
            <w:pPr>
              <w:numPr>
                <w:ilvl w:val="2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Note: This may not be applied to all type of the UEs and/or use-cases</w:t>
            </w:r>
          </w:p>
          <w:p w:rsidR="006A7CB9" w:rsidRPr="00BC742B" w:rsidRDefault="006A7CB9" w:rsidP="006A7CB9">
            <w:pPr>
              <w:numPr>
                <w:ilvl w:val="2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 xml:space="preserve">FFS whether or not total number of blind decodings in a slot when a UE is configured with 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“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DL control channel monitoring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”</w:t>
            </w:r>
            <w:r w:rsidRPr="00BC742B">
              <w:rPr>
                <w:rFonts w:eastAsia="MS Mincho" w:hint="eastAsia"/>
                <w:szCs w:val="20"/>
                <w:lang w:eastAsia="ja-JP"/>
              </w:rPr>
              <w:t xml:space="preserve"> per symbol can exceed the total number of blind decodings in a slot when a UE is configured with 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“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DL control channel monitoring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”</w:t>
            </w:r>
            <w:r w:rsidRPr="00BC742B">
              <w:rPr>
                <w:rFonts w:eastAsia="MS Mincho" w:hint="eastAsia"/>
                <w:szCs w:val="20"/>
                <w:lang w:eastAsia="ja-JP"/>
              </w:rPr>
              <w:t xml:space="preserve"> per slot</w:t>
            </w:r>
            <w:r>
              <w:rPr>
                <w:rFonts w:hint="eastAsia"/>
                <w:szCs w:val="20"/>
              </w:rPr>
              <w:t xml:space="preserve">  </w:t>
            </w:r>
          </w:p>
          <w:p w:rsidR="006A7CB9" w:rsidRPr="00BC742B" w:rsidRDefault="006A7CB9" w:rsidP="006A7CB9">
            <w:pPr>
              <w:numPr>
                <w:ilvl w:val="0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Data channel (PDSCH, PUSCH) duration and starting position</w:t>
            </w:r>
          </w:p>
          <w:p w:rsidR="006A7CB9" w:rsidRPr="00BC742B" w:rsidRDefault="006A7CB9" w:rsidP="006A7CB9">
            <w:pPr>
              <w:numPr>
                <w:ilvl w:val="1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Specification supports data channel having minimum duration of 1 OFDM symbol of the data and starting at any OFDM symbol to below-6GHz, in addition to above-6GHz</w:t>
            </w:r>
            <w:r>
              <w:rPr>
                <w:rFonts w:hint="eastAsia"/>
                <w:szCs w:val="20"/>
              </w:rPr>
              <w:t xml:space="preserve">  </w:t>
            </w:r>
          </w:p>
          <w:p w:rsidR="006A7CB9" w:rsidRPr="00BC742B" w:rsidRDefault="006A7CB9" w:rsidP="006A7CB9">
            <w:pPr>
              <w:numPr>
                <w:ilvl w:val="2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Note: This may not be applied to all type of UEs and/or use-cases</w:t>
            </w:r>
          </w:p>
          <w:p w:rsidR="006A7CB9" w:rsidRPr="00BC742B" w:rsidRDefault="006A7CB9" w:rsidP="006A7CB9">
            <w:pPr>
              <w:numPr>
                <w:ilvl w:val="2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UE is not expected to blindly detect the presence of DMRS or PT-RS</w:t>
            </w:r>
            <w:r>
              <w:rPr>
                <w:rFonts w:hint="eastAsia"/>
                <w:szCs w:val="20"/>
              </w:rPr>
              <w:t xml:space="preserve">  </w:t>
            </w:r>
          </w:p>
          <w:p w:rsidR="006A7CB9" w:rsidRPr="00BC742B" w:rsidRDefault="006A7CB9" w:rsidP="006A7CB9">
            <w:pPr>
              <w:numPr>
                <w:ilvl w:val="2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FFS: Whether a 1 symbol data puncturing can be indicated by preemption indication</w:t>
            </w:r>
          </w:p>
          <w:p w:rsidR="006A7CB9" w:rsidRPr="00BC742B" w:rsidRDefault="006A7CB9" w:rsidP="006A7CB9">
            <w:pPr>
              <w:numPr>
                <w:ilvl w:val="1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FFS: combinations of data duration and granularities of data position</w:t>
            </w:r>
          </w:p>
          <w:p w:rsidR="006A7CB9" w:rsidRPr="00BC742B" w:rsidRDefault="006A7CB9" w:rsidP="006A7CB9">
            <w:pPr>
              <w:numPr>
                <w:ilvl w:val="1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>Specification supports data having frequency-selective assignment with any data duration</w:t>
            </w:r>
            <w:r>
              <w:rPr>
                <w:rFonts w:hint="eastAsia"/>
                <w:szCs w:val="20"/>
              </w:rPr>
              <w:t xml:space="preserve"> </w:t>
            </w:r>
          </w:p>
          <w:p w:rsidR="006A7CB9" w:rsidRPr="00BC742B" w:rsidRDefault="006A7CB9" w:rsidP="006A7CB9">
            <w:pPr>
              <w:numPr>
                <w:ilvl w:val="0"/>
                <w:numId w:val="7"/>
              </w:numPr>
              <w:spacing w:before="0" w:after="0" w:line="240" w:lineRule="auto"/>
              <w:rPr>
                <w:rFonts w:eastAsia="MS Mincho"/>
                <w:szCs w:val="20"/>
                <w:lang w:eastAsia="ja-JP"/>
              </w:rPr>
            </w:pPr>
            <w:r w:rsidRPr="00BC742B">
              <w:rPr>
                <w:rFonts w:eastAsia="MS Mincho" w:hint="eastAsia"/>
                <w:szCs w:val="20"/>
                <w:lang w:eastAsia="ja-JP"/>
              </w:rPr>
              <w:t xml:space="preserve">FFS: relations between 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“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DL control channel monitoring</w:t>
            </w:r>
            <w:r w:rsidRPr="00BC742B">
              <w:rPr>
                <w:rFonts w:eastAsia="MS Mincho" w:hint="eastAsia"/>
                <w:szCs w:val="20"/>
                <w:lang w:eastAsia="ja-JP"/>
              </w:rPr>
              <w:t>”</w:t>
            </w:r>
            <w:r w:rsidRPr="00BC742B">
              <w:rPr>
                <w:rFonts w:eastAsia="MS Mincho" w:hint="eastAsia"/>
                <w:szCs w:val="20"/>
                <w:lang w:eastAsia="ja-JP"/>
              </w:rPr>
              <w:t xml:space="preserve"> occasions and data channel durations </w:t>
            </w:r>
          </w:p>
          <w:p w:rsidR="006A7CB9" w:rsidRDefault="006A7CB9" w:rsidP="006A7CB9">
            <w:pPr>
              <w:numPr>
                <w:ilvl w:val="0"/>
                <w:numId w:val="7"/>
              </w:numPr>
              <w:spacing w:before="0" w:after="0" w:line="240" w:lineRule="auto"/>
              <w:ind w:left="360" w:firstLine="0"/>
              <w:rPr>
                <w:rFonts w:eastAsia="MS Mincho"/>
                <w:szCs w:val="20"/>
                <w:lang w:eastAsia="ja-JP"/>
              </w:rPr>
            </w:pPr>
            <w:r w:rsidRPr="00AE6699">
              <w:rPr>
                <w:rFonts w:eastAsia="MS Mincho" w:hint="eastAsia"/>
                <w:szCs w:val="20"/>
                <w:lang w:eastAsia="ja-JP"/>
              </w:rPr>
              <w:t>Note: this is addition to the agreements at RAN1#86.</w:t>
            </w:r>
          </w:p>
          <w:p w:rsidR="00BB2748" w:rsidRDefault="006A7CB9">
            <w:pPr>
              <w:numPr>
                <w:ilvl w:val="0"/>
                <w:numId w:val="7"/>
              </w:numPr>
              <w:spacing w:before="0" w:after="0" w:line="240" w:lineRule="auto"/>
              <w:ind w:left="360" w:firstLine="0"/>
              <w:rPr>
                <w:rFonts w:eastAsia="MS Mincho"/>
                <w:szCs w:val="20"/>
                <w:lang w:eastAsia="ja-JP"/>
              </w:rPr>
            </w:pPr>
            <w:r w:rsidRPr="00AE6699">
              <w:rPr>
                <w:rFonts w:eastAsia="MS Mincho" w:hint="eastAsia"/>
                <w:szCs w:val="20"/>
                <w:lang w:eastAsia="ja-JP"/>
              </w:rPr>
              <w:t>Note : 1-symbol case may be restricted depending on the BW.</w:t>
            </w:r>
          </w:p>
        </w:tc>
      </w:tr>
    </w:tbl>
    <w:p w:rsidR="00704322" w:rsidRDefault="00E35808" w:rsidP="00704322">
      <w:pPr>
        <w:overflowPunct w:val="0"/>
        <w:autoSpaceDE w:val="0"/>
        <w:autoSpaceDN w:val="0"/>
        <w:adjustRightInd w:val="0"/>
        <w:spacing w:beforeLines="50" w:line="300" w:lineRule="auto"/>
        <w:textAlignment w:val="baseline"/>
        <w:rPr>
          <w:szCs w:val="20"/>
        </w:rPr>
      </w:pPr>
      <w:r>
        <w:rPr>
          <w:rFonts w:hint="eastAsia"/>
          <w:szCs w:val="20"/>
        </w:rPr>
        <w:t xml:space="preserve">In this </w:t>
      </w:r>
      <w:r w:rsidR="00E15C86">
        <w:rPr>
          <w:rFonts w:hint="eastAsia"/>
          <w:szCs w:val="20"/>
        </w:rPr>
        <w:t>contribution, we will discuss</w:t>
      </w:r>
      <w:r>
        <w:rPr>
          <w:rFonts w:hint="eastAsia"/>
          <w:szCs w:val="20"/>
        </w:rPr>
        <w:t xml:space="preserve"> </w:t>
      </w:r>
      <w:r w:rsidR="006A7CB9">
        <w:rPr>
          <w:szCs w:val="20"/>
        </w:rPr>
        <w:t xml:space="preserve">the </w:t>
      </w:r>
      <w:r>
        <w:rPr>
          <w:rFonts w:hint="eastAsia"/>
          <w:szCs w:val="20"/>
        </w:rPr>
        <w:t>PDCCH monitoring</w:t>
      </w:r>
      <w:r w:rsidR="00CB3BDE">
        <w:rPr>
          <w:rFonts w:hint="eastAsia"/>
          <w:szCs w:val="20"/>
        </w:rPr>
        <w:t>.</w:t>
      </w:r>
      <w:r w:rsidR="006E30E5">
        <w:rPr>
          <w:szCs w:val="20"/>
        </w:rPr>
        <w:t xml:space="preserve"> D</w:t>
      </w:r>
      <w:r w:rsidR="006A7CB9">
        <w:rPr>
          <w:szCs w:val="20"/>
        </w:rPr>
        <w:t>ifferent use cases</w:t>
      </w:r>
      <w:r w:rsidR="006E30E5">
        <w:rPr>
          <w:szCs w:val="20"/>
        </w:rPr>
        <w:t xml:space="preserve"> are described and analyzed</w:t>
      </w:r>
      <w:r w:rsidR="006A7CB9">
        <w:rPr>
          <w:szCs w:val="20"/>
        </w:rPr>
        <w:t>.</w:t>
      </w:r>
    </w:p>
    <w:p w:rsidR="006E30E5" w:rsidRDefault="006E30E5" w:rsidP="009E1CC1">
      <w:pPr>
        <w:overflowPunct w:val="0"/>
        <w:autoSpaceDE w:val="0"/>
        <w:autoSpaceDN w:val="0"/>
        <w:adjustRightInd w:val="0"/>
        <w:spacing w:beforeLines="50" w:line="300" w:lineRule="auto"/>
        <w:jc w:val="both"/>
        <w:textAlignment w:val="baseline"/>
        <w:rPr>
          <w:szCs w:val="20"/>
        </w:rPr>
      </w:pPr>
    </w:p>
    <w:p w:rsidR="00A33CE2" w:rsidRDefault="0091202E" w:rsidP="00A33CE2">
      <w:pPr>
        <w:pStyle w:val="Heading1"/>
        <w:rPr>
          <w:rFonts w:eastAsiaTheme="minorEastAsia"/>
          <w:lang w:val="en-US"/>
        </w:rPr>
      </w:pPr>
      <w:r>
        <w:rPr>
          <w:rFonts w:hint="eastAsia"/>
          <w:lang w:val="en-US"/>
        </w:rPr>
        <w:t>Discussion</w:t>
      </w:r>
    </w:p>
    <w:p w:rsidR="00670A9E" w:rsidRPr="006E30E5" w:rsidRDefault="00670A9E" w:rsidP="00457B1D">
      <w:pPr>
        <w:pStyle w:val="Heading2"/>
        <w:ind w:left="576"/>
        <w:rPr>
          <w:rFonts w:ascii="Arial" w:hAnsi="Arial" w:cs="Arial"/>
          <w:sz w:val="28"/>
          <w:szCs w:val="28"/>
        </w:rPr>
      </w:pPr>
      <w:r w:rsidRPr="006E30E5">
        <w:rPr>
          <w:rFonts w:ascii="Arial" w:hAnsi="Arial" w:cs="Arial"/>
          <w:sz w:val="28"/>
          <w:szCs w:val="28"/>
        </w:rPr>
        <w:t>Use</w:t>
      </w:r>
      <w:r w:rsidR="006A7CB9" w:rsidRPr="006E30E5">
        <w:rPr>
          <w:rFonts w:ascii="Arial" w:hAnsi="Arial" w:cs="Arial"/>
          <w:sz w:val="28"/>
          <w:szCs w:val="28"/>
        </w:rPr>
        <w:t xml:space="preserve"> </w:t>
      </w:r>
      <w:r w:rsidRPr="006E30E5">
        <w:rPr>
          <w:rFonts w:ascii="Arial" w:hAnsi="Arial" w:cs="Arial"/>
          <w:sz w:val="28"/>
          <w:szCs w:val="28"/>
        </w:rPr>
        <w:t>case</w:t>
      </w:r>
      <w:r w:rsidR="00A250FE" w:rsidRPr="006E30E5">
        <w:rPr>
          <w:rFonts w:ascii="Arial" w:hAnsi="Arial" w:cs="Arial"/>
          <w:sz w:val="28"/>
          <w:szCs w:val="28"/>
        </w:rPr>
        <w:t>s</w:t>
      </w:r>
      <w:r w:rsidRPr="006E30E5">
        <w:rPr>
          <w:rFonts w:ascii="Arial" w:hAnsi="Arial" w:cs="Arial"/>
          <w:sz w:val="28"/>
          <w:szCs w:val="28"/>
        </w:rPr>
        <w:t xml:space="preserve"> for PDCCH monitor</w:t>
      </w:r>
      <w:r w:rsidR="006E30E5">
        <w:rPr>
          <w:rFonts w:ascii="Arial" w:hAnsi="Arial" w:cs="Arial"/>
          <w:sz w:val="28"/>
          <w:szCs w:val="28"/>
        </w:rPr>
        <w:t>i</w:t>
      </w:r>
      <w:r w:rsidR="006A7CB9" w:rsidRPr="006E30E5">
        <w:rPr>
          <w:rFonts w:ascii="Arial" w:hAnsi="Arial" w:cs="Arial"/>
          <w:sz w:val="28"/>
          <w:szCs w:val="28"/>
        </w:rPr>
        <w:t>ng</w:t>
      </w:r>
    </w:p>
    <w:p w:rsidR="00704322" w:rsidRDefault="004C717F" w:rsidP="00704322">
      <w:pPr>
        <w:jc w:val="both"/>
      </w:pPr>
      <w:r w:rsidRPr="00FD6978">
        <w:rPr>
          <w:rFonts w:hint="eastAsia"/>
        </w:rPr>
        <w:t xml:space="preserve">According to </w:t>
      </w:r>
      <w:r w:rsidR="006E30E5">
        <w:t xml:space="preserve">the </w:t>
      </w:r>
      <w:r w:rsidRPr="00FD6978">
        <w:rPr>
          <w:rFonts w:hint="eastAsia"/>
        </w:rPr>
        <w:t xml:space="preserve">UE </w:t>
      </w:r>
      <w:r w:rsidR="006A7CB9">
        <w:t>cap</w:t>
      </w:r>
      <w:r w:rsidRPr="00FD6978">
        <w:rPr>
          <w:rFonts w:hint="eastAsia"/>
        </w:rPr>
        <w:t>ability and the t</w:t>
      </w:r>
      <w:r w:rsidR="006A7CB9">
        <w:t>r</w:t>
      </w:r>
      <w:r w:rsidRPr="00FD6978">
        <w:rPr>
          <w:rFonts w:hint="eastAsia"/>
        </w:rPr>
        <w:t xml:space="preserve">affic </w:t>
      </w:r>
      <w:r w:rsidR="006A7CB9">
        <w:t>types in certain</w:t>
      </w:r>
      <w:r w:rsidRPr="00FD6978">
        <w:rPr>
          <w:rFonts w:hint="eastAsia"/>
        </w:rPr>
        <w:t xml:space="preserve"> scenario</w:t>
      </w:r>
      <w:r w:rsidR="006A7CB9">
        <w:t>s</w:t>
      </w:r>
      <w:r w:rsidRPr="00FD6978">
        <w:rPr>
          <w:rFonts w:hint="eastAsia"/>
        </w:rPr>
        <w:t xml:space="preserve">, </w:t>
      </w:r>
      <w:r w:rsidR="006E30E5">
        <w:t>at least two cases for</w:t>
      </w:r>
      <w:r w:rsidRPr="00FD6978">
        <w:rPr>
          <w:rFonts w:hint="eastAsia"/>
        </w:rPr>
        <w:t xml:space="preserve"> </w:t>
      </w:r>
      <w:r w:rsidR="006E30E5">
        <w:t xml:space="preserve">the </w:t>
      </w:r>
      <w:r w:rsidRPr="00FD6978">
        <w:rPr>
          <w:rFonts w:hint="eastAsia"/>
        </w:rPr>
        <w:t>PDCCH monitor</w:t>
      </w:r>
      <w:r w:rsidR="006A7CB9">
        <w:t>ing can be foreseen:</w:t>
      </w:r>
    </w:p>
    <w:p w:rsidR="00655837" w:rsidRPr="006E30E5" w:rsidRDefault="00655837" w:rsidP="006D1BA6">
      <w:pPr>
        <w:pStyle w:val="ListParagraph"/>
        <w:numPr>
          <w:ilvl w:val="0"/>
          <w:numId w:val="8"/>
        </w:numPr>
        <w:ind w:firstLineChars="0"/>
        <w:rPr>
          <w:sz w:val="20"/>
          <w:szCs w:val="20"/>
        </w:rPr>
      </w:pPr>
      <w:r w:rsidRPr="006E30E5">
        <w:rPr>
          <w:rFonts w:hint="eastAsia"/>
          <w:sz w:val="20"/>
          <w:szCs w:val="20"/>
        </w:rPr>
        <w:t>Use</w:t>
      </w:r>
      <w:r w:rsidR="006A7CB9" w:rsidRPr="006E30E5">
        <w:rPr>
          <w:sz w:val="20"/>
          <w:szCs w:val="20"/>
        </w:rPr>
        <w:t xml:space="preserve"> </w:t>
      </w:r>
      <w:r w:rsidRPr="006E30E5">
        <w:rPr>
          <w:rFonts w:hint="eastAsia"/>
          <w:sz w:val="20"/>
          <w:szCs w:val="20"/>
        </w:rPr>
        <w:t>case</w:t>
      </w:r>
      <w:r w:rsidR="006E30E5" w:rsidRPr="006E30E5">
        <w:rPr>
          <w:sz w:val="20"/>
          <w:szCs w:val="20"/>
        </w:rPr>
        <w:t xml:space="preserve"> </w:t>
      </w:r>
      <w:r w:rsidRPr="006E30E5">
        <w:rPr>
          <w:rFonts w:hint="eastAsia"/>
          <w:sz w:val="20"/>
          <w:szCs w:val="20"/>
        </w:rPr>
        <w:t>1</w:t>
      </w:r>
      <w:r w:rsidR="006E30E5" w:rsidRPr="006E30E5">
        <w:rPr>
          <w:sz w:val="20"/>
          <w:szCs w:val="20"/>
        </w:rPr>
        <w:t xml:space="preserve">: </w:t>
      </w:r>
      <w:r w:rsidRPr="006E30E5">
        <w:rPr>
          <w:rFonts w:hint="eastAsia"/>
          <w:sz w:val="20"/>
          <w:szCs w:val="20"/>
        </w:rPr>
        <w:t>UE only need</w:t>
      </w:r>
      <w:r w:rsidR="006A7CB9" w:rsidRPr="006E30E5">
        <w:rPr>
          <w:sz w:val="20"/>
          <w:szCs w:val="20"/>
        </w:rPr>
        <w:t>s</w:t>
      </w:r>
      <w:r w:rsidRPr="006E30E5">
        <w:rPr>
          <w:rFonts w:hint="eastAsia"/>
          <w:sz w:val="20"/>
          <w:szCs w:val="20"/>
        </w:rPr>
        <w:t xml:space="preserve"> to monitor </w:t>
      </w:r>
      <w:r w:rsidR="006A7CB9" w:rsidRPr="006E30E5">
        <w:rPr>
          <w:sz w:val="20"/>
          <w:szCs w:val="20"/>
        </w:rPr>
        <w:t xml:space="preserve">the </w:t>
      </w:r>
      <w:r w:rsidRPr="006E30E5">
        <w:rPr>
          <w:rFonts w:hint="eastAsia"/>
          <w:sz w:val="20"/>
          <w:szCs w:val="20"/>
        </w:rPr>
        <w:t>eMBB PDCCH</w:t>
      </w:r>
    </w:p>
    <w:p w:rsidR="004C717F" w:rsidRPr="006E30E5" w:rsidRDefault="002C1075" w:rsidP="006D1BA6">
      <w:pPr>
        <w:pStyle w:val="ListParagraph"/>
        <w:numPr>
          <w:ilvl w:val="0"/>
          <w:numId w:val="8"/>
        </w:numPr>
        <w:ind w:firstLineChars="0"/>
        <w:rPr>
          <w:sz w:val="20"/>
          <w:szCs w:val="20"/>
        </w:rPr>
      </w:pPr>
      <w:r w:rsidRPr="006E30E5">
        <w:rPr>
          <w:rFonts w:hint="eastAsia"/>
          <w:sz w:val="20"/>
          <w:szCs w:val="20"/>
        </w:rPr>
        <w:lastRenderedPageBreak/>
        <w:t>Use</w:t>
      </w:r>
      <w:r w:rsidR="006A7CB9" w:rsidRPr="006E30E5">
        <w:rPr>
          <w:sz w:val="20"/>
          <w:szCs w:val="20"/>
        </w:rPr>
        <w:t xml:space="preserve"> </w:t>
      </w:r>
      <w:r w:rsidRPr="006E30E5">
        <w:rPr>
          <w:rFonts w:hint="eastAsia"/>
          <w:sz w:val="20"/>
          <w:szCs w:val="20"/>
        </w:rPr>
        <w:t>case</w:t>
      </w:r>
      <w:r w:rsidR="006E30E5" w:rsidRPr="006E30E5">
        <w:rPr>
          <w:sz w:val="20"/>
          <w:szCs w:val="20"/>
        </w:rPr>
        <w:t xml:space="preserve"> </w:t>
      </w:r>
      <w:r w:rsidRPr="006E30E5">
        <w:rPr>
          <w:rFonts w:hint="eastAsia"/>
          <w:sz w:val="20"/>
          <w:szCs w:val="20"/>
        </w:rPr>
        <w:t>2</w:t>
      </w:r>
      <w:r w:rsidR="00655837" w:rsidRPr="006E30E5">
        <w:rPr>
          <w:rFonts w:hint="eastAsia"/>
          <w:sz w:val="20"/>
          <w:szCs w:val="20"/>
        </w:rPr>
        <w:t>: UE need</w:t>
      </w:r>
      <w:r w:rsidR="006A7CB9" w:rsidRPr="006E30E5">
        <w:rPr>
          <w:sz w:val="20"/>
          <w:szCs w:val="20"/>
        </w:rPr>
        <w:t>s</w:t>
      </w:r>
      <w:r w:rsidR="00655837" w:rsidRPr="006E30E5">
        <w:rPr>
          <w:rFonts w:hint="eastAsia"/>
          <w:sz w:val="20"/>
          <w:szCs w:val="20"/>
        </w:rPr>
        <w:t xml:space="preserve"> to monitor both </w:t>
      </w:r>
      <w:r w:rsidR="006A7CB9" w:rsidRPr="006E30E5">
        <w:rPr>
          <w:sz w:val="20"/>
          <w:szCs w:val="20"/>
        </w:rPr>
        <w:t xml:space="preserve">the </w:t>
      </w:r>
      <w:r w:rsidR="00655837" w:rsidRPr="006E30E5">
        <w:rPr>
          <w:rFonts w:hint="eastAsia"/>
          <w:sz w:val="20"/>
          <w:szCs w:val="20"/>
        </w:rPr>
        <w:t>eMBB and URLLC PDCCH</w:t>
      </w:r>
    </w:p>
    <w:p w:rsidR="00704322" w:rsidRDefault="004C717F" w:rsidP="00704322">
      <w:pPr>
        <w:jc w:val="both"/>
      </w:pPr>
      <w:r w:rsidRPr="00FD6978">
        <w:rPr>
          <w:rFonts w:hint="eastAsia"/>
        </w:rPr>
        <w:t xml:space="preserve">For </w:t>
      </w:r>
      <w:r w:rsidR="00BE0150">
        <w:t>u</w:t>
      </w:r>
      <w:r w:rsidRPr="00FD6978">
        <w:rPr>
          <w:rFonts w:hint="eastAsia"/>
        </w:rPr>
        <w:t>se</w:t>
      </w:r>
      <w:r w:rsidR="006A7CB9">
        <w:t xml:space="preserve"> </w:t>
      </w:r>
      <w:r w:rsidRPr="00FD6978">
        <w:rPr>
          <w:rFonts w:hint="eastAsia"/>
        </w:rPr>
        <w:t xml:space="preserve">case1, </w:t>
      </w:r>
      <w:r w:rsidR="006A7CB9">
        <w:t xml:space="preserve">when there is </w:t>
      </w:r>
      <w:r w:rsidRPr="00FD6978">
        <w:rPr>
          <w:rFonts w:hint="eastAsia"/>
        </w:rPr>
        <w:t xml:space="preserve">no support </w:t>
      </w:r>
      <w:r w:rsidR="006E30E5">
        <w:t xml:space="preserve">for </w:t>
      </w:r>
      <w:r w:rsidRPr="00FD6978">
        <w:rPr>
          <w:rFonts w:hint="eastAsia"/>
        </w:rPr>
        <w:t>URLLC service</w:t>
      </w:r>
      <w:r w:rsidR="006E30E5">
        <w:t>, the UE will probably only need to monitor the slot level PDCCH. This can e.g. occur in</w:t>
      </w:r>
      <w:r w:rsidRPr="00FD6978">
        <w:rPr>
          <w:rFonts w:hint="eastAsia"/>
        </w:rPr>
        <w:t xml:space="preserve"> high speed</w:t>
      </w:r>
      <w:r w:rsidR="00422AB6" w:rsidRPr="00FD6978">
        <w:rPr>
          <w:rFonts w:hint="eastAsia"/>
        </w:rPr>
        <w:t xml:space="preserve"> </w:t>
      </w:r>
      <w:r w:rsidR="006E30E5">
        <w:t>scenarios and for carrier frequencies above</w:t>
      </w:r>
      <w:r w:rsidR="00422AB6" w:rsidRPr="00FD6978">
        <w:rPr>
          <w:rFonts w:hint="eastAsia"/>
        </w:rPr>
        <w:t xml:space="preserve"> 6GHz</w:t>
      </w:r>
      <w:r w:rsidR="006E30E5">
        <w:t>.</w:t>
      </w:r>
      <w:r w:rsidR="00422AB6" w:rsidRPr="00FD6978">
        <w:rPr>
          <w:rFonts w:hint="eastAsia"/>
        </w:rPr>
        <w:t xml:space="preserve"> </w:t>
      </w:r>
    </w:p>
    <w:p w:rsidR="00704322" w:rsidRDefault="007250F5" w:rsidP="00704322">
      <w:pPr>
        <w:jc w:val="both"/>
      </w:pPr>
      <w:r w:rsidRPr="00FD6978">
        <w:rPr>
          <w:rFonts w:hint="eastAsia"/>
        </w:rPr>
        <w:t xml:space="preserve">For </w:t>
      </w:r>
      <w:r w:rsidR="00BE0150">
        <w:t>u</w:t>
      </w:r>
      <w:r w:rsidRPr="00FD6978">
        <w:rPr>
          <w:rFonts w:hint="eastAsia"/>
        </w:rPr>
        <w:t>se</w:t>
      </w:r>
      <w:r w:rsidR="00BE0150">
        <w:t xml:space="preserve"> </w:t>
      </w:r>
      <w:r w:rsidRPr="00FD6978">
        <w:rPr>
          <w:rFonts w:hint="eastAsia"/>
        </w:rPr>
        <w:t xml:space="preserve">case2, </w:t>
      </w:r>
      <w:r w:rsidR="00BE0150">
        <w:t xml:space="preserve">the simultaneous </w:t>
      </w:r>
      <w:r w:rsidRPr="00FD6978">
        <w:rPr>
          <w:rFonts w:hint="eastAsia"/>
        </w:rPr>
        <w:t>support</w:t>
      </w:r>
      <w:r w:rsidR="006E30E5">
        <w:t xml:space="preserve"> </w:t>
      </w:r>
      <w:r w:rsidRPr="00FD6978">
        <w:rPr>
          <w:rFonts w:hint="eastAsia"/>
        </w:rPr>
        <w:t>of URLLC and eMBB</w:t>
      </w:r>
      <w:r w:rsidRPr="00FD6978">
        <w:t xml:space="preserve"> </w:t>
      </w:r>
      <w:r w:rsidR="00BE0150">
        <w:t>in the same UE</w:t>
      </w:r>
      <w:r w:rsidRPr="00FD6978">
        <w:rPr>
          <w:rFonts w:hint="eastAsia"/>
        </w:rPr>
        <w:t>,</w:t>
      </w:r>
      <w:r w:rsidR="00BE0150">
        <w:t xml:space="preserve"> the</w:t>
      </w:r>
      <w:r w:rsidRPr="00FD6978">
        <w:rPr>
          <w:rFonts w:hint="eastAsia"/>
        </w:rPr>
        <w:t xml:space="preserve"> </w:t>
      </w:r>
      <w:r w:rsidR="00961940" w:rsidRPr="00FD6978">
        <w:rPr>
          <w:rFonts w:hint="eastAsia"/>
        </w:rPr>
        <w:t xml:space="preserve">gNB can schedule URLLC service by puncturing or grant-free methods </w:t>
      </w:r>
      <w:r w:rsidR="006E30E5">
        <w:t>with</w:t>
      </w:r>
      <w:r w:rsidR="00961940" w:rsidRPr="00FD6978">
        <w:rPr>
          <w:rFonts w:hint="eastAsia"/>
        </w:rPr>
        <w:t xml:space="preserve">in </w:t>
      </w:r>
      <w:r w:rsidR="00BE0150">
        <w:t xml:space="preserve">the </w:t>
      </w:r>
      <w:r w:rsidR="00961940" w:rsidRPr="00FD6978">
        <w:rPr>
          <w:rFonts w:hint="eastAsia"/>
        </w:rPr>
        <w:t>eMBB bandwi</w:t>
      </w:r>
      <w:r w:rsidR="00BE0150">
        <w:t>d</w:t>
      </w:r>
      <w:r w:rsidR="00961940" w:rsidRPr="00FD6978">
        <w:rPr>
          <w:rFonts w:hint="eastAsia"/>
        </w:rPr>
        <w:t>th</w:t>
      </w:r>
      <w:r w:rsidR="00BE0150">
        <w:t>.</w:t>
      </w:r>
      <w:r w:rsidR="00961940" w:rsidRPr="00FD6978">
        <w:rPr>
          <w:rFonts w:hint="eastAsia"/>
        </w:rPr>
        <w:t xml:space="preserve"> </w:t>
      </w:r>
      <w:r w:rsidR="00BE0150">
        <w:t>Thus, a UE supporting both services</w:t>
      </w:r>
      <w:r w:rsidR="006E30E5">
        <w:t xml:space="preserve"> simultaneously </w:t>
      </w:r>
      <w:r w:rsidR="00961940" w:rsidRPr="00FD6978">
        <w:rPr>
          <w:rFonts w:hint="eastAsia"/>
        </w:rPr>
        <w:t>need</w:t>
      </w:r>
      <w:r w:rsidR="00BE0150">
        <w:t>s</w:t>
      </w:r>
      <w:r w:rsidR="00961940" w:rsidRPr="00FD6978">
        <w:rPr>
          <w:rFonts w:hint="eastAsia"/>
        </w:rPr>
        <w:t xml:space="preserve"> to monitor both </w:t>
      </w:r>
      <w:r w:rsidR="00BE0150">
        <w:t xml:space="preserve">the </w:t>
      </w:r>
      <w:r w:rsidR="00961940" w:rsidRPr="00FD6978">
        <w:rPr>
          <w:rFonts w:hint="eastAsia"/>
        </w:rPr>
        <w:t xml:space="preserve">slot level PDCCH and </w:t>
      </w:r>
      <w:r w:rsidR="00BE0150">
        <w:t xml:space="preserve">also the </w:t>
      </w:r>
      <w:r w:rsidR="00961940" w:rsidRPr="00FD6978">
        <w:rPr>
          <w:rFonts w:hint="eastAsia"/>
        </w:rPr>
        <w:t>mini-slot level PDCCH</w:t>
      </w:r>
      <w:r w:rsidR="00BE0150">
        <w:t>.</w:t>
      </w:r>
      <w:r w:rsidR="00961940" w:rsidRPr="00FD6978">
        <w:rPr>
          <w:rFonts w:hint="eastAsia"/>
        </w:rPr>
        <w:t xml:space="preserve"> </w:t>
      </w:r>
    </w:p>
    <w:p w:rsidR="002C1075" w:rsidRDefault="002C1075" w:rsidP="002C1075">
      <w:pPr>
        <w:pStyle w:val="ListParagraph"/>
        <w:ind w:left="420" w:firstLineChars="0" w:firstLine="0"/>
      </w:pPr>
    </w:p>
    <w:p w:rsidR="00860D32" w:rsidRPr="006E30E5" w:rsidRDefault="00A250FE" w:rsidP="00457B1D">
      <w:pPr>
        <w:pStyle w:val="Heading2"/>
        <w:ind w:left="576"/>
        <w:rPr>
          <w:rFonts w:ascii="Arial" w:hAnsi="Arial" w:cs="Arial"/>
          <w:sz w:val="28"/>
          <w:szCs w:val="28"/>
        </w:rPr>
      </w:pPr>
      <w:r w:rsidRPr="006E30E5">
        <w:rPr>
          <w:rFonts w:ascii="Arial" w:hAnsi="Arial" w:cs="Arial"/>
          <w:sz w:val="28"/>
          <w:szCs w:val="28"/>
        </w:rPr>
        <w:t>PDCCH monitor</w:t>
      </w:r>
      <w:r w:rsidR="00BE0150" w:rsidRPr="006E30E5">
        <w:rPr>
          <w:rFonts w:ascii="Arial" w:hAnsi="Arial" w:cs="Arial"/>
          <w:sz w:val="28"/>
          <w:szCs w:val="28"/>
        </w:rPr>
        <w:t>ing</w:t>
      </w:r>
      <w:r w:rsidRPr="006E30E5">
        <w:rPr>
          <w:rFonts w:ascii="Arial" w:hAnsi="Arial" w:cs="Arial"/>
          <w:sz w:val="28"/>
          <w:szCs w:val="28"/>
        </w:rPr>
        <w:t xml:space="preserve"> for </w:t>
      </w:r>
      <w:r w:rsidR="00BE0150" w:rsidRPr="006E30E5">
        <w:rPr>
          <w:rFonts w:ascii="Arial" w:hAnsi="Arial" w:cs="Arial"/>
          <w:sz w:val="28"/>
          <w:szCs w:val="28"/>
        </w:rPr>
        <w:t>u</w:t>
      </w:r>
      <w:r w:rsidRPr="006E30E5">
        <w:rPr>
          <w:rFonts w:ascii="Arial" w:hAnsi="Arial" w:cs="Arial"/>
          <w:sz w:val="28"/>
          <w:szCs w:val="28"/>
        </w:rPr>
        <w:t>se</w:t>
      </w:r>
      <w:r w:rsidR="00BE0150" w:rsidRPr="006E30E5">
        <w:rPr>
          <w:rFonts w:ascii="Arial" w:hAnsi="Arial" w:cs="Arial"/>
          <w:sz w:val="28"/>
          <w:szCs w:val="28"/>
        </w:rPr>
        <w:t xml:space="preserve"> </w:t>
      </w:r>
      <w:r w:rsidRPr="006E30E5">
        <w:rPr>
          <w:rFonts w:ascii="Arial" w:hAnsi="Arial" w:cs="Arial"/>
          <w:sz w:val="28"/>
          <w:szCs w:val="28"/>
        </w:rPr>
        <w:t>case</w:t>
      </w:r>
      <w:r w:rsidR="00184970" w:rsidRPr="006E30E5">
        <w:rPr>
          <w:rFonts w:ascii="Arial" w:hAnsi="Arial" w:cs="Arial"/>
          <w:sz w:val="28"/>
          <w:szCs w:val="28"/>
        </w:rPr>
        <w:t xml:space="preserve"> </w:t>
      </w:r>
      <w:r w:rsidRPr="006E30E5">
        <w:rPr>
          <w:rFonts w:ascii="Arial" w:hAnsi="Arial" w:cs="Arial"/>
          <w:sz w:val="28"/>
          <w:szCs w:val="28"/>
        </w:rPr>
        <w:t>1</w:t>
      </w:r>
    </w:p>
    <w:p w:rsidR="00704322" w:rsidRDefault="003478A2" w:rsidP="00704322">
      <w:pPr>
        <w:jc w:val="both"/>
        <w:rPr>
          <w:rFonts w:eastAsia="Arial Unicode MS" w:cs="Arial"/>
          <w:kern w:val="2"/>
          <w:szCs w:val="20"/>
        </w:rPr>
      </w:pPr>
      <w:r w:rsidRPr="00FE243C">
        <w:rPr>
          <w:rFonts w:eastAsia="Arial Unicode MS" w:cs="Arial" w:hint="eastAsia"/>
          <w:kern w:val="2"/>
          <w:szCs w:val="20"/>
        </w:rPr>
        <w:t>According to</w:t>
      </w:r>
      <w:r w:rsidR="00BE0150" w:rsidRPr="00FE243C">
        <w:rPr>
          <w:rFonts w:eastAsia="Arial Unicode MS" w:cs="Arial"/>
          <w:kern w:val="2"/>
          <w:szCs w:val="20"/>
        </w:rPr>
        <w:t xml:space="preserve"> previous </w:t>
      </w:r>
      <w:r w:rsidRPr="00FE243C">
        <w:rPr>
          <w:rFonts w:eastAsia="Arial Unicode MS" w:cs="Arial" w:hint="eastAsia"/>
          <w:kern w:val="2"/>
          <w:szCs w:val="20"/>
        </w:rPr>
        <w:t>conclusion</w:t>
      </w:r>
      <w:r w:rsidR="00BE0150" w:rsidRPr="00FE243C">
        <w:rPr>
          <w:rFonts w:eastAsia="Arial Unicode MS" w:cs="Arial"/>
          <w:kern w:val="2"/>
          <w:szCs w:val="20"/>
        </w:rPr>
        <w:t>s</w:t>
      </w:r>
      <w:r w:rsidRPr="00FE243C">
        <w:rPr>
          <w:rFonts w:eastAsia="Arial Unicode MS" w:cs="Arial" w:hint="eastAsia"/>
          <w:kern w:val="2"/>
          <w:szCs w:val="20"/>
        </w:rPr>
        <w:t>,</w:t>
      </w:r>
      <w:r w:rsidR="00BE0150" w:rsidRPr="00FE243C">
        <w:rPr>
          <w:rFonts w:eastAsia="Arial Unicode MS" w:cs="Arial"/>
          <w:kern w:val="2"/>
          <w:szCs w:val="20"/>
        </w:rPr>
        <w:t xml:space="preserve"> the</w:t>
      </w:r>
      <w:r w:rsidRPr="00FE243C">
        <w:rPr>
          <w:rFonts w:eastAsia="Arial Unicode MS" w:cs="Arial" w:hint="eastAsia"/>
          <w:kern w:val="2"/>
          <w:szCs w:val="20"/>
        </w:rPr>
        <w:t xml:space="preserve"> PDCCH should </w:t>
      </w:r>
      <w:r w:rsidR="00BE0150" w:rsidRPr="00FE243C">
        <w:rPr>
          <w:rFonts w:eastAsia="Arial Unicode MS" w:cs="Arial"/>
          <w:kern w:val="2"/>
          <w:szCs w:val="20"/>
        </w:rPr>
        <w:t xml:space="preserve">be </w:t>
      </w:r>
      <w:r w:rsidRPr="00FE243C">
        <w:rPr>
          <w:rFonts w:eastAsia="Arial Unicode MS" w:cs="Arial" w:hint="eastAsia"/>
          <w:kern w:val="2"/>
          <w:szCs w:val="20"/>
        </w:rPr>
        <w:t xml:space="preserve">transmitted at the beginning </w:t>
      </w:r>
      <w:r w:rsidR="00BE0150" w:rsidRPr="00FE243C">
        <w:rPr>
          <w:rFonts w:eastAsia="Arial Unicode MS" w:cs="Arial"/>
          <w:kern w:val="2"/>
          <w:szCs w:val="20"/>
        </w:rPr>
        <w:t xml:space="preserve">of a slot, spanning </w:t>
      </w:r>
      <w:r w:rsidRPr="00FE243C">
        <w:rPr>
          <w:rFonts w:eastAsia="Arial Unicode MS" w:cs="Arial" w:hint="eastAsia"/>
          <w:kern w:val="2"/>
          <w:szCs w:val="20"/>
        </w:rPr>
        <w:t>one or several OFDM symbols</w:t>
      </w:r>
      <w:r w:rsidR="00BE0150" w:rsidRPr="00FE243C">
        <w:rPr>
          <w:rFonts w:eastAsia="Arial Unicode MS" w:cs="Arial"/>
          <w:kern w:val="2"/>
          <w:szCs w:val="20"/>
        </w:rPr>
        <w:t xml:space="preserve">. The </w:t>
      </w:r>
      <w:r w:rsidR="00DB23EB" w:rsidRPr="00FE243C">
        <w:rPr>
          <w:rFonts w:eastAsia="Arial Unicode MS" w:cs="Arial" w:hint="eastAsia"/>
          <w:kern w:val="2"/>
          <w:szCs w:val="20"/>
        </w:rPr>
        <w:t>UE only need</w:t>
      </w:r>
      <w:r w:rsidR="00BE0150" w:rsidRPr="00FE243C">
        <w:rPr>
          <w:rFonts w:eastAsia="Arial Unicode MS" w:cs="Arial"/>
          <w:kern w:val="2"/>
          <w:szCs w:val="20"/>
        </w:rPr>
        <w:t>s</w:t>
      </w:r>
      <w:r w:rsidR="00DB23EB" w:rsidRPr="00FE243C">
        <w:rPr>
          <w:rFonts w:eastAsia="Arial Unicode MS" w:cs="Arial" w:hint="eastAsia"/>
          <w:kern w:val="2"/>
          <w:szCs w:val="20"/>
        </w:rPr>
        <w:t xml:space="preserve"> to monitor </w:t>
      </w:r>
      <w:r w:rsidR="00BE0150" w:rsidRPr="00FE243C">
        <w:rPr>
          <w:rFonts w:eastAsia="Arial Unicode MS" w:cs="Arial"/>
          <w:kern w:val="2"/>
          <w:szCs w:val="20"/>
        </w:rPr>
        <w:t xml:space="preserve">the </w:t>
      </w:r>
      <w:r w:rsidR="00DB23EB" w:rsidRPr="00FE243C">
        <w:rPr>
          <w:rFonts w:eastAsia="Arial Unicode MS" w:cs="Arial" w:hint="eastAsia"/>
          <w:kern w:val="2"/>
          <w:szCs w:val="20"/>
        </w:rPr>
        <w:t xml:space="preserve">PDCCH </w:t>
      </w:r>
      <w:r w:rsidR="00BE0150" w:rsidRPr="00FE243C">
        <w:rPr>
          <w:rFonts w:eastAsia="Arial Unicode MS" w:cs="Arial"/>
          <w:kern w:val="2"/>
          <w:szCs w:val="20"/>
        </w:rPr>
        <w:t>r</w:t>
      </w:r>
      <w:r w:rsidR="00FE243C" w:rsidRPr="00FE243C">
        <w:rPr>
          <w:rFonts w:eastAsia="Arial Unicode MS" w:cs="Arial" w:hint="eastAsia"/>
          <w:kern w:val="2"/>
          <w:szCs w:val="20"/>
        </w:rPr>
        <w:t xml:space="preserve">egion </w:t>
      </w:r>
      <w:r w:rsidR="00DB23EB" w:rsidRPr="00FE243C">
        <w:rPr>
          <w:rFonts w:eastAsia="Arial Unicode MS" w:cs="Arial" w:hint="eastAsia"/>
          <w:kern w:val="2"/>
          <w:szCs w:val="20"/>
        </w:rPr>
        <w:t>at the beginning of a slot</w:t>
      </w:r>
      <w:r w:rsidR="00184970" w:rsidRPr="00FE243C">
        <w:rPr>
          <w:rFonts w:eastAsia="Arial Unicode MS" w:cs="Arial"/>
          <w:kern w:val="2"/>
          <w:szCs w:val="20"/>
        </w:rPr>
        <w:t>.</w:t>
      </w:r>
      <w:r w:rsidR="00DB23EB" w:rsidRPr="00FE243C">
        <w:rPr>
          <w:rFonts w:eastAsia="Arial Unicode MS" w:cs="Arial" w:hint="eastAsia"/>
          <w:kern w:val="2"/>
          <w:szCs w:val="20"/>
        </w:rPr>
        <w:t xml:space="preserve"> </w:t>
      </w:r>
      <w:r w:rsidR="00184970" w:rsidRPr="00FE243C">
        <w:rPr>
          <w:rFonts w:eastAsia="Arial Unicode MS" w:cs="Arial"/>
          <w:kern w:val="2"/>
          <w:szCs w:val="20"/>
        </w:rPr>
        <w:t>T</w:t>
      </w:r>
      <w:r w:rsidR="00DB23EB" w:rsidRPr="00FE243C">
        <w:rPr>
          <w:rFonts w:eastAsia="Arial Unicode MS" w:cs="Arial" w:hint="eastAsia"/>
          <w:kern w:val="2"/>
          <w:szCs w:val="20"/>
        </w:rPr>
        <w:t>he monitor</w:t>
      </w:r>
      <w:r w:rsidR="00184970" w:rsidRPr="00FE243C">
        <w:rPr>
          <w:rFonts w:eastAsia="Arial Unicode MS" w:cs="Arial"/>
          <w:kern w:val="2"/>
          <w:szCs w:val="20"/>
        </w:rPr>
        <w:t>ing</w:t>
      </w:r>
      <w:r w:rsidR="00DB23EB" w:rsidRPr="00FE243C">
        <w:rPr>
          <w:rFonts w:eastAsia="Arial Unicode MS" w:cs="Arial" w:hint="eastAsia"/>
          <w:kern w:val="2"/>
          <w:szCs w:val="20"/>
        </w:rPr>
        <w:t xml:space="preserve"> occasions for CSS and USS should be </w:t>
      </w:r>
      <w:r w:rsidR="00FE243C">
        <w:rPr>
          <w:rFonts w:eastAsia="Arial Unicode MS" w:cs="Arial"/>
          <w:kern w:val="2"/>
          <w:szCs w:val="20"/>
        </w:rPr>
        <w:t xml:space="preserve">independently </w:t>
      </w:r>
      <w:r w:rsidR="00FE243C">
        <w:rPr>
          <w:rFonts w:eastAsia="Arial Unicode MS" w:cs="Arial" w:hint="eastAsia"/>
          <w:kern w:val="2"/>
          <w:szCs w:val="20"/>
        </w:rPr>
        <w:t xml:space="preserve">configurable, </w:t>
      </w:r>
      <w:r w:rsidR="00FE243C">
        <w:rPr>
          <w:rFonts w:eastAsia="Arial Unicode MS" w:cs="Arial"/>
          <w:kern w:val="2"/>
          <w:szCs w:val="20"/>
        </w:rPr>
        <w:t>for example</w:t>
      </w:r>
      <w:r w:rsidR="00896E50" w:rsidRPr="00FE243C">
        <w:rPr>
          <w:rFonts w:eastAsia="Arial Unicode MS" w:cs="Arial" w:hint="eastAsia"/>
          <w:kern w:val="2"/>
          <w:szCs w:val="20"/>
        </w:rPr>
        <w:t xml:space="preserve"> per slot</w:t>
      </w:r>
      <w:r w:rsidR="00203A2E" w:rsidRPr="00FE243C">
        <w:rPr>
          <w:rFonts w:eastAsia="Arial Unicode MS" w:cs="Arial" w:hint="eastAsia"/>
          <w:kern w:val="2"/>
          <w:szCs w:val="20"/>
        </w:rPr>
        <w:t xml:space="preserve"> or per multiple-slots</w:t>
      </w:r>
      <w:r w:rsidR="00184970" w:rsidRPr="00FE243C">
        <w:rPr>
          <w:rFonts w:eastAsia="Arial Unicode MS" w:cs="Arial"/>
          <w:kern w:val="2"/>
          <w:szCs w:val="20"/>
        </w:rPr>
        <w:t xml:space="preserve"> </w:t>
      </w:r>
      <w:r w:rsidR="00203A2E" w:rsidRPr="00FE243C">
        <w:rPr>
          <w:rFonts w:eastAsia="Arial Unicode MS" w:cs="Arial" w:hint="eastAsia"/>
          <w:kern w:val="2"/>
          <w:szCs w:val="20"/>
        </w:rPr>
        <w:t xml:space="preserve">according to </w:t>
      </w:r>
      <w:r w:rsidR="00184970" w:rsidRPr="00FE243C">
        <w:rPr>
          <w:rFonts w:eastAsia="Arial Unicode MS" w:cs="Arial"/>
          <w:kern w:val="2"/>
          <w:szCs w:val="20"/>
        </w:rPr>
        <w:t xml:space="preserve">the </w:t>
      </w:r>
      <w:r w:rsidR="00203A2E" w:rsidRPr="00FE243C">
        <w:rPr>
          <w:rFonts w:eastAsia="Arial Unicode MS" w:cs="Arial"/>
          <w:kern w:val="2"/>
          <w:szCs w:val="20"/>
        </w:rPr>
        <w:t>scheduling</w:t>
      </w:r>
      <w:r w:rsidR="00203A2E" w:rsidRPr="00FE243C">
        <w:rPr>
          <w:rFonts w:eastAsia="Arial Unicode MS" w:cs="Arial" w:hint="eastAsia"/>
          <w:kern w:val="2"/>
          <w:szCs w:val="20"/>
        </w:rPr>
        <w:t xml:space="preserve"> granularity </w:t>
      </w:r>
      <w:r w:rsidR="00184970" w:rsidRPr="00FE243C">
        <w:rPr>
          <w:rFonts w:eastAsia="Arial Unicode MS" w:cs="Arial"/>
          <w:kern w:val="2"/>
          <w:szCs w:val="20"/>
        </w:rPr>
        <w:t>in the</w:t>
      </w:r>
      <w:r w:rsidR="00203A2E" w:rsidRPr="00FE243C">
        <w:rPr>
          <w:rFonts w:eastAsia="Arial Unicode MS" w:cs="Arial" w:hint="eastAsia"/>
          <w:kern w:val="2"/>
          <w:szCs w:val="20"/>
        </w:rPr>
        <w:t xml:space="preserve"> time domain.</w:t>
      </w:r>
    </w:p>
    <w:p w:rsidR="00704322" w:rsidRDefault="00537769" w:rsidP="00704322">
      <w:pPr>
        <w:jc w:val="both"/>
        <w:rPr>
          <w:szCs w:val="20"/>
        </w:rPr>
      </w:pPr>
      <w:r w:rsidRPr="00FE243C">
        <w:rPr>
          <w:szCs w:val="20"/>
        </w:rPr>
        <w:t xml:space="preserve">For CSS, </w:t>
      </w:r>
      <w:r w:rsidR="00FE243C">
        <w:rPr>
          <w:szCs w:val="20"/>
        </w:rPr>
        <w:t xml:space="preserve">the monitoring occasions can be configured </w:t>
      </w:r>
      <w:r w:rsidRPr="00FE243C">
        <w:rPr>
          <w:szCs w:val="20"/>
        </w:rPr>
        <w:t xml:space="preserve">according to the different </w:t>
      </w:r>
      <w:r w:rsidRPr="00FE243C">
        <w:rPr>
          <w:rFonts w:hint="eastAsia"/>
          <w:szCs w:val="20"/>
        </w:rPr>
        <w:t>type</w:t>
      </w:r>
      <w:r w:rsidR="00184970" w:rsidRPr="00FE243C">
        <w:rPr>
          <w:szCs w:val="20"/>
        </w:rPr>
        <w:t>s</w:t>
      </w:r>
      <w:r w:rsidRPr="00FE243C">
        <w:rPr>
          <w:rFonts w:hint="eastAsia"/>
          <w:szCs w:val="20"/>
        </w:rPr>
        <w:t xml:space="preserve"> of </w:t>
      </w:r>
      <w:r w:rsidR="00FE243C">
        <w:rPr>
          <w:szCs w:val="20"/>
        </w:rPr>
        <w:t>common signaling.</w:t>
      </w:r>
      <w:r w:rsidRPr="00FE243C">
        <w:rPr>
          <w:rFonts w:hint="eastAsia"/>
          <w:szCs w:val="20"/>
        </w:rPr>
        <w:t xml:space="preserve"> </w:t>
      </w:r>
      <w:r w:rsidR="00FE243C">
        <w:rPr>
          <w:szCs w:val="20"/>
        </w:rPr>
        <w:t>For example</w:t>
      </w:r>
      <w:r w:rsidRPr="00FE243C">
        <w:rPr>
          <w:rFonts w:hint="eastAsia"/>
          <w:szCs w:val="20"/>
        </w:rPr>
        <w:t xml:space="preserve"> for slot structure indication in CSS, </w:t>
      </w:r>
      <w:r w:rsidR="00184970" w:rsidRPr="00FE243C">
        <w:rPr>
          <w:szCs w:val="20"/>
        </w:rPr>
        <w:t xml:space="preserve">the </w:t>
      </w:r>
      <w:r w:rsidRPr="00FE243C">
        <w:rPr>
          <w:rFonts w:hint="eastAsia"/>
          <w:szCs w:val="20"/>
        </w:rPr>
        <w:t xml:space="preserve">gNB can configure </w:t>
      </w:r>
      <w:r w:rsidR="00184970" w:rsidRPr="00FE243C">
        <w:rPr>
          <w:szCs w:val="20"/>
        </w:rPr>
        <w:t xml:space="preserve">a </w:t>
      </w:r>
      <w:r w:rsidRPr="00FE243C">
        <w:rPr>
          <w:rFonts w:hint="eastAsia"/>
          <w:szCs w:val="20"/>
        </w:rPr>
        <w:t>UE to monitor</w:t>
      </w:r>
      <w:r w:rsidR="00AD4AD1" w:rsidRPr="00FE243C">
        <w:rPr>
          <w:rFonts w:hint="eastAsia"/>
          <w:szCs w:val="20"/>
        </w:rPr>
        <w:t xml:space="preserve"> every slot or</w:t>
      </w:r>
      <w:r w:rsidRPr="00FE243C">
        <w:rPr>
          <w:rFonts w:hint="eastAsia"/>
          <w:szCs w:val="20"/>
        </w:rPr>
        <w:t xml:space="preserve"> every multiple of slots</w:t>
      </w:r>
      <w:r w:rsidR="00184970" w:rsidRPr="00FE243C">
        <w:rPr>
          <w:szCs w:val="20"/>
        </w:rPr>
        <w:t>.</w:t>
      </w:r>
      <w:r w:rsidRPr="00FE243C">
        <w:rPr>
          <w:rFonts w:hint="eastAsia"/>
          <w:szCs w:val="20"/>
        </w:rPr>
        <w:t xml:space="preserve"> </w:t>
      </w:r>
      <w:r w:rsidR="00184970" w:rsidRPr="00FE243C">
        <w:rPr>
          <w:szCs w:val="20"/>
        </w:rPr>
        <w:t>F</w:t>
      </w:r>
      <w:r w:rsidRPr="00FE243C">
        <w:rPr>
          <w:rFonts w:hint="eastAsia"/>
          <w:szCs w:val="20"/>
        </w:rPr>
        <w:t>or scheduling for paging</w:t>
      </w:r>
      <w:r w:rsidR="00184970" w:rsidRPr="00FE243C">
        <w:rPr>
          <w:szCs w:val="20"/>
        </w:rPr>
        <w:t xml:space="preserve"> and</w:t>
      </w:r>
      <w:r w:rsidRPr="00FE243C">
        <w:rPr>
          <w:rFonts w:hint="eastAsia"/>
          <w:szCs w:val="20"/>
        </w:rPr>
        <w:t xml:space="preserve"> SIB in CSS, </w:t>
      </w:r>
      <w:r w:rsidR="00184970" w:rsidRPr="00FE243C">
        <w:rPr>
          <w:szCs w:val="20"/>
        </w:rPr>
        <w:t xml:space="preserve">the </w:t>
      </w:r>
      <w:r w:rsidRPr="00FE243C">
        <w:rPr>
          <w:rFonts w:hint="eastAsia"/>
          <w:szCs w:val="20"/>
        </w:rPr>
        <w:t>gNB</w:t>
      </w:r>
      <w:r w:rsidRPr="00FE243C">
        <w:rPr>
          <w:szCs w:val="20"/>
        </w:rPr>
        <w:t xml:space="preserve"> </w:t>
      </w:r>
      <w:r w:rsidRPr="00FE243C">
        <w:rPr>
          <w:rFonts w:hint="eastAsia"/>
          <w:szCs w:val="20"/>
        </w:rPr>
        <w:t xml:space="preserve">can configure </w:t>
      </w:r>
      <w:r w:rsidR="00184970" w:rsidRPr="00FE243C">
        <w:rPr>
          <w:szCs w:val="20"/>
        </w:rPr>
        <w:t xml:space="preserve">the </w:t>
      </w:r>
      <w:r w:rsidRPr="00FE243C">
        <w:rPr>
          <w:rFonts w:hint="eastAsia"/>
          <w:szCs w:val="20"/>
        </w:rPr>
        <w:t>monitor</w:t>
      </w:r>
      <w:r w:rsidR="00184970" w:rsidRPr="00FE243C">
        <w:rPr>
          <w:szCs w:val="20"/>
        </w:rPr>
        <w:t>ing</w:t>
      </w:r>
      <w:r w:rsidRPr="00FE243C">
        <w:rPr>
          <w:rFonts w:hint="eastAsia"/>
          <w:szCs w:val="20"/>
        </w:rPr>
        <w:t xml:space="preserve"> occasion</w:t>
      </w:r>
      <w:r w:rsidR="00184970" w:rsidRPr="00FE243C">
        <w:rPr>
          <w:szCs w:val="20"/>
        </w:rPr>
        <w:t>s</w:t>
      </w:r>
      <w:r w:rsidRPr="00FE243C">
        <w:rPr>
          <w:rFonts w:hint="eastAsia"/>
          <w:szCs w:val="20"/>
        </w:rPr>
        <w:t xml:space="preserve"> according to these signals</w:t>
      </w:r>
      <w:r w:rsidRPr="00FE243C">
        <w:rPr>
          <w:szCs w:val="20"/>
        </w:rPr>
        <w:t>’</w:t>
      </w:r>
      <w:r w:rsidRPr="00FE243C">
        <w:rPr>
          <w:rFonts w:hint="eastAsia"/>
          <w:szCs w:val="20"/>
        </w:rPr>
        <w:t xml:space="preserve"> minimal transmission period</w:t>
      </w:r>
      <w:r w:rsidR="00184970" w:rsidRPr="00FE243C">
        <w:rPr>
          <w:szCs w:val="20"/>
        </w:rPr>
        <w:t>.</w:t>
      </w:r>
      <w:r w:rsidRPr="00FE243C">
        <w:rPr>
          <w:rFonts w:hint="eastAsia"/>
          <w:szCs w:val="20"/>
        </w:rPr>
        <w:t xml:space="preserve"> </w:t>
      </w:r>
      <w:r w:rsidR="00184970" w:rsidRPr="00FE243C">
        <w:rPr>
          <w:szCs w:val="20"/>
        </w:rPr>
        <w:t>F</w:t>
      </w:r>
      <w:r w:rsidR="00AD4AD1" w:rsidRPr="00FE243C">
        <w:rPr>
          <w:rFonts w:hint="eastAsia"/>
          <w:szCs w:val="20"/>
        </w:rPr>
        <w:t xml:space="preserve">or random access in CSS, </w:t>
      </w:r>
      <w:r w:rsidR="00184970" w:rsidRPr="00FE243C">
        <w:rPr>
          <w:szCs w:val="20"/>
        </w:rPr>
        <w:t xml:space="preserve">a </w:t>
      </w:r>
      <w:r w:rsidR="00AD4AD1" w:rsidRPr="00FE243C">
        <w:rPr>
          <w:rFonts w:hint="eastAsia"/>
          <w:szCs w:val="20"/>
        </w:rPr>
        <w:t>UE only need</w:t>
      </w:r>
      <w:r w:rsidR="00184970" w:rsidRPr="00FE243C">
        <w:rPr>
          <w:szCs w:val="20"/>
        </w:rPr>
        <w:t>s</w:t>
      </w:r>
      <w:r w:rsidR="00AD4AD1" w:rsidRPr="00FE243C">
        <w:rPr>
          <w:rFonts w:hint="eastAsia"/>
          <w:szCs w:val="20"/>
        </w:rPr>
        <w:t xml:space="preserve"> to monitor within the maximum allowed time window</w:t>
      </w:r>
      <w:r w:rsidR="00184970" w:rsidRPr="00FE243C">
        <w:rPr>
          <w:szCs w:val="20"/>
        </w:rPr>
        <w:t>.</w:t>
      </w:r>
      <w:r w:rsidR="00FE243C">
        <w:rPr>
          <w:szCs w:val="20"/>
        </w:rPr>
        <w:t xml:space="preserve"> </w:t>
      </w:r>
      <w:r w:rsidR="00184970" w:rsidRPr="00FE243C">
        <w:rPr>
          <w:szCs w:val="20"/>
        </w:rPr>
        <w:t xml:space="preserve">The PDCCH monitoring for use case 1 is illustrated below in Figure 1. </w:t>
      </w:r>
    </w:p>
    <w:p w:rsidR="009A7B6E" w:rsidRDefault="00697651" w:rsidP="009A7B6E">
      <w:pPr>
        <w:jc w:val="center"/>
      </w:pPr>
      <w:r>
        <w:object w:dxaOrig="9532" w:dyaOrig="3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6pt;height:119.8pt" o:ole="">
            <v:imagedata r:id="rId8" o:title=""/>
          </v:shape>
          <o:OLEObject Type="Embed" ProgID="Visio.Drawing.11" ShapeID="_x0000_i1025" DrawAspect="Content" ObjectID="_1555487842" r:id="rId9"/>
        </w:object>
      </w:r>
    </w:p>
    <w:p w:rsidR="009A7B6E" w:rsidRPr="00621BA3" w:rsidRDefault="00704322" w:rsidP="009A7B6E">
      <w:pPr>
        <w:spacing w:afterLines="50"/>
        <w:jc w:val="center"/>
        <w:rPr>
          <w:rFonts w:eastAsia="Arial Unicode MS" w:cs="Arial"/>
          <w:kern w:val="2"/>
          <w:szCs w:val="20"/>
        </w:rPr>
      </w:pPr>
      <w:r w:rsidRPr="00704322">
        <w:rPr>
          <w:rFonts w:eastAsia="Arial Unicode MS" w:cs="Arial"/>
          <w:kern w:val="2"/>
          <w:szCs w:val="20"/>
        </w:rPr>
        <w:t>Fig. 1:</w:t>
      </w:r>
      <w:r w:rsidRPr="00704322">
        <w:rPr>
          <w:rFonts w:eastAsia="Arial Unicode MS" w:cs="Arial"/>
          <w:kern w:val="2"/>
          <w:szCs w:val="20"/>
        </w:rPr>
        <w:tab/>
        <w:t>Example for monitoring occasions for CSS and USS</w:t>
      </w:r>
    </w:p>
    <w:p w:rsidR="009A7B6E" w:rsidRPr="009A7B6E" w:rsidRDefault="009A7B6E" w:rsidP="009A7B6E">
      <w:pPr>
        <w:jc w:val="center"/>
      </w:pPr>
    </w:p>
    <w:p w:rsidR="00860D32" w:rsidRPr="00ED70F6" w:rsidRDefault="00625794" w:rsidP="00625794">
      <w:pPr>
        <w:rPr>
          <w:b/>
          <w:i/>
        </w:rPr>
      </w:pPr>
      <w:r w:rsidRPr="00ED70F6">
        <w:rPr>
          <w:b/>
          <w:i/>
        </w:rPr>
        <w:t>Proposal 1: For slot</w:t>
      </w:r>
      <w:r w:rsidR="00621BA3" w:rsidRPr="00ED70F6">
        <w:rPr>
          <w:rFonts w:hint="eastAsia"/>
          <w:b/>
          <w:i/>
        </w:rPr>
        <w:t xml:space="preserve"> </w:t>
      </w:r>
      <w:r w:rsidRPr="00ED70F6">
        <w:rPr>
          <w:b/>
          <w:i/>
        </w:rPr>
        <w:t xml:space="preserve">level PDCCH monitoring, the CSS monitoring can be configured in multiple </w:t>
      </w:r>
      <w:r w:rsidR="00ED70F6" w:rsidRPr="00ED70F6">
        <w:rPr>
          <w:b/>
          <w:i/>
        </w:rPr>
        <w:t>numbers</w:t>
      </w:r>
      <w:r w:rsidRPr="00ED70F6">
        <w:rPr>
          <w:b/>
          <w:i/>
        </w:rPr>
        <w:t xml:space="preserve"> of slots</w:t>
      </w:r>
      <w:r w:rsidR="00621BA3" w:rsidRPr="00ED70F6">
        <w:rPr>
          <w:rFonts w:hint="eastAsia"/>
          <w:b/>
          <w:i/>
        </w:rPr>
        <w:t>.</w:t>
      </w:r>
    </w:p>
    <w:p w:rsidR="000D3F03" w:rsidRPr="00FE243C" w:rsidRDefault="00D92276" w:rsidP="009348BB">
      <w:pPr>
        <w:pStyle w:val="Heading2"/>
        <w:ind w:left="576"/>
        <w:rPr>
          <w:rFonts w:ascii="Arial" w:hAnsi="Arial" w:cs="Arial"/>
          <w:sz w:val="28"/>
          <w:szCs w:val="28"/>
        </w:rPr>
      </w:pPr>
      <w:r w:rsidRPr="00FE243C">
        <w:rPr>
          <w:rFonts w:ascii="Arial" w:hAnsi="Arial" w:cs="Arial"/>
          <w:sz w:val="28"/>
          <w:szCs w:val="28"/>
        </w:rPr>
        <w:t>PDCCH monitor</w:t>
      </w:r>
      <w:r w:rsidR="00184970" w:rsidRPr="00FE243C">
        <w:rPr>
          <w:rFonts w:ascii="Arial" w:hAnsi="Arial" w:cs="Arial"/>
          <w:sz w:val="28"/>
          <w:szCs w:val="28"/>
        </w:rPr>
        <w:t>ing</w:t>
      </w:r>
      <w:r w:rsidR="00A250FE" w:rsidRPr="00FE243C">
        <w:rPr>
          <w:rFonts w:ascii="Arial" w:hAnsi="Arial" w:cs="Arial"/>
          <w:sz w:val="28"/>
          <w:szCs w:val="28"/>
        </w:rPr>
        <w:t xml:space="preserve"> for </w:t>
      </w:r>
      <w:r w:rsidR="00184970" w:rsidRPr="00FE243C">
        <w:rPr>
          <w:rFonts w:ascii="Arial" w:hAnsi="Arial" w:cs="Arial"/>
          <w:sz w:val="28"/>
          <w:szCs w:val="28"/>
        </w:rPr>
        <w:t>u</w:t>
      </w:r>
      <w:r w:rsidR="00A250FE" w:rsidRPr="00FE243C">
        <w:rPr>
          <w:rFonts w:ascii="Arial" w:hAnsi="Arial" w:cs="Arial"/>
          <w:sz w:val="28"/>
          <w:szCs w:val="28"/>
        </w:rPr>
        <w:t>se</w:t>
      </w:r>
      <w:r w:rsidR="00184970" w:rsidRPr="00FE243C">
        <w:rPr>
          <w:rFonts w:ascii="Arial" w:hAnsi="Arial" w:cs="Arial"/>
          <w:sz w:val="28"/>
          <w:szCs w:val="28"/>
        </w:rPr>
        <w:t xml:space="preserve"> </w:t>
      </w:r>
      <w:r w:rsidR="00A250FE" w:rsidRPr="00FE243C">
        <w:rPr>
          <w:rFonts w:ascii="Arial" w:hAnsi="Arial" w:cs="Arial"/>
          <w:sz w:val="28"/>
          <w:szCs w:val="28"/>
        </w:rPr>
        <w:t>case</w:t>
      </w:r>
      <w:r w:rsidR="00184970" w:rsidRPr="00FE243C">
        <w:rPr>
          <w:rFonts w:ascii="Arial" w:hAnsi="Arial" w:cs="Arial"/>
          <w:sz w:val="28"/>
          <w:szCs w:val="28"/>
        </w:rPr>
        <w:t xml:space="preserve"> </w:t>
      </w:r>
      <w:r w:rsidR="00A250FE" w:rsidRPr="00FE243C">
        <w:rPr>
          <w:rFonts w:ascii="Arial" w:hAnsi="Arial" w:cs="Arial"/>
          <w:sz w:val="28"/>
          <w:szCs w:val="28"/>
        </w:rPr>
        <w:t>2</w:t>
      </w:r>
    </w:p>
    <w:p w:rsidR="00704322" w:rsidRDefault="0011494E" w:rsidP="00704322">
      <w:pPr>
        <w:jc w:val="both"/>
      </w:pPr>
      <w:r w:rsidRPr="00FD6978">
        <w:rPr>
          <w:rFonts w:hint="eastAsia"/>
        </w:rPr>
        <w:t xml:space="preserve">For </w:t>
      </w:r>
      <w:r w:rsidR="00184970">
        <w:t>u</w:t>
      </w:r>
      <w:r w:rsidRPr="00FD6978">
        <w:rPr>
          <w:rFonts w:hint="eastAsia"/>
        </w:rPr>
        <w:t>se</w:t>
      </w:r>
      <w:r w:rsidR="00184970">
        <w:t xml:space="preserve"> </w:t>
      </w:r>
      <w:r w:rsidRPr="00FD6978">
        <w:rPr>
          <w:rFonts w:hint="eastAsia"/>
        </w:rPr>
        <w:t>case</w:t>
      </w:r>
      <w:r w:rsidR="00184970">
        <w:t xml:space="preserve"> </w:t>
      </w:r>
      <w:r w:rsidRPr="00FD6978">
        <w:rPr>
          <w:rFonts w:hint="eastAsia"/>
        </w:rPr>
        <w:t xml:space="preserve">2, </w:t>
      </w:r>
      <w:r w:rsidR="00184970">
        <w:t xml:space="preserve">both </w:t>
      </w:r>
      <w:r w:rsidRPr="00FD6978">
        <w:rPr>
          <w:rFonts w:hint="eastAsia"/>
        </w:rPr>
        <w:t xml:space="preserve">slot level PDCCH and mini-slot level PDCCH </w:t>
      </w:r>
      <w:r w:rsidR="00FE243C">
        <w:t>monitoring is</w:t>
      </w:r>
      <w:r w:rsidR="00225154">
        <w:t xml:space="preserve"> needed. The differences between them are the following:</w:t>
      </w:r>
      <w:r w:rsidRPr="00FD6978">
        <w:rPr>
          <w:rFonts w:hint="eastAsia"/>
        </w:rPr>
        <w:t xml:space="preserve"> </w:t>
      </w:r>
    </w:p>
    <w:p w:rsidR="0011494E" w:rsidRPr="00FD6978" w:rsidRDefault="0011494E" w:rsidP="006D1BA6">
      <w:pPr>
        <w:pStyle w:val="ListParagraph"/>
        <w:numPr>
          <w:ilvl w:val="0"/>
          <w:numId w:val="9"/>
        </w:numPr>
        <w:spacing w:before="0"/>
        <w:ind w:firstLineChars="0"/>
      </w:pPr>
      <w:r w:rsidRPr="00FD6978">
        <w:t>S</w:t>
      </w:r>
      <w:r w:rsidRPr="00FD6978">
        <w:rPr>
          <w:rFonts w:hint="eastAsia"/>
        </w:rPr>
        <w:t>lot level PDCCH occur</w:t>
      </w:r>
      <w:r w:rsidR="00225154">
        <w:t>s</w:t>
      </w:r>
      <w:r w:rsidRPr="00FD6978">
        <w:rPr>
          <w:rFonts w:hint="eastAsia"/>
        </w:rPr>
        <w:t xml:space="preserve"> in the fixed time region in one slot</w:t>
      </w:r>
      <w:r w:rsidR="0086629C" w:rsidRPr="00FD6978">
        <w:rPr>
          <w:rFonts w:hint="eastAsia"/>
        </w:rPr>
        <w:t xml:space="preserve">, </w:t>
      </w:r>
      <w:r w:rsidR="00225154">
        <w:t xml:space="preserve">a </w:t>
      </w:r>
      <w:r w:rsidR="0086629C" w:rsidRPr="00FD6978">
        <w:rPr>
          <w:rFonts w:hint="eastAsia"/>
        </w:rPr>
        <w:t xml:space="preserve">mini-slot level PDCCH </w:t>
      </w:r>
      <w:r w:rsidR="00225154">
        <w:t xml:space="preserve">could be sent </w:t>
      </w:r>
      <w:r w:rsidR="0086629C" w:rsidRPr="00FD6978">
        <w:rPr>
          <w:rFonts w:hint="eastAsia"/>
        </w:rPr>
        <w:t xml:space="preserve">in every </w:t>
      </w:r>
      <w:r w:rsidR="00225154">
        <w:t>symbol of the slot.</w:t>
      </w:r>
    </w:p>
    <w:p w:rsidR="0086629C" w:rsidRPr="00FD6978" w:rsidRDefault="00225154" w:rsidP="006D1BA6">
      <w:pPr>
        <w:pStyle w:val="ListParagraph"/>
        <w:numPr>
          <w:ilvl w:val="0"/>
          <w:numId w:val="9"/>
        </w:numPr>
        <w:spacing w:before="0"/>
        <w:ind w:firstLineChars="0"/>
      </w:pPr>
      <w:r>
        <w:t xml:space="preserve">Their durations can differ. </w:t>
      </w:r>
    </w:p>
    <w:p w:rsidR="00704322" w:rsidRDefault="00225154">
      <w:pPr>
        <w:pStyle w:val="ListParagraph"/>
        <w:numPr>
          <w:ilvl w:val="0"/>
          <w:numId w:val="9"/>
        </w:numPr>
        <w:spacing w:before="0"/>
        <w:ind w:firstLineChars="0"/>
      </w:pPr>
      <w:r>
        <w:t>Their CORESETs can differ.</w:t>
      </w:r>
    </w:p>
    <w:p w:rsidR="00704322" w:rsidRDefault="00225154">
      <w:pPr>
        <w:pStyle w:val="ListParagraph"/>
        <w:numPr>
          <w:ilvl w:val="0"/>
          <w:numId w:val="9"/>
        </w:numPr>
        <w:spacing w:before="0"/>
        <w:ind w:firstLineChars="0"/>
      </w:pPr>
      <w:r>
        <w:t>Different DCI formats can be used.</w:t>
      </w:r>
    </w:p>
    <w:p w:rsidR="00704322" w:rsidRDefault="00225154">
      <w:pPr>
        <w:pStyle w:val="ListParagraph"/>
        <w:numPr>
          <w:ilvl w:val="0"/>
          <w:numId w:val="9"/>
        </w:numPr>
        <w:spacing w:before="0"/>
        <w:ind w:firstLineChars="0"/>
      </w:pPr>
      <w:r>
        <w:t>R</w:t>
      </w:r>
      <w:r w:rsidR="0086629C" w:rsidRPr="00FD6978">
        <w:rPr>
          <w:rFonts w:hint="eastAsia"/>
        </w:rPr>
        <w:t>esource mapping can be different</w:t>
      </w:r>
      <w:r>
        <w:t>.</w:t>
      </w:r>
    </w:p>
    <w:p w:rsidR="00704322" w:rsidRDefault="0090637E" w:rsidP="00704322">
      <w:pPr>
        <w:jc w:val="both"/>
      </w:pPr>
      <w:r w:rsidRPr="00FD6978">
        <w:rPr>
          <w:rFonts w:hint="eastAsia"/>
        </w:rPr>
        <w:lastRenderedPageBreak/>
        <w:t xml:space="preserve">UEs </w:t>
      </w:r>
      <w:r w:rsidR="00225154">
        <w:t xml:space="preserve">operating </w:t>
      </w:r>
      <w:r w:rsidRPr="00FD6978">
        <w:rPr>
          <w:rFonts w:hint="eastAsia"/>
        </w:rPr>
        <w:t xml:space="preserve">in </w:t>
      </w:r>
      <w:r w:rsidR="00225154">
        <w:t>u</w:t>
      </w:r>
      <w:r w:rsidRPr="00FD6978">
        <w:rPr>
          <w:rFonts w:hint="eastAsia"/>
        </w:rPr>
        <w:t>se</w:t>
      </w:r>
      <w:r w:rsidR="00225154">
        <w:t xml:space="preserve"> </w:t>
      </w:r>
      <w:r w:rsidRPr="00FD6978">
        <w:rPr>
          <w:rFonts w:hint="eastAsia"/>
        </w:rPr>
        <w:t>case</w:t>
      </w:r>
      <w:r w:rsidR="00225154">
        <w:t xml:space="preserve"> </w:t>
      </w:r>
      <w:r w:rsidR="00FE243C">
        <w:rPr>
          <w:rFonts w:hint="eastAsia"/>
        </w:rPr>
        <w:t>2</w:t>
      </w:r>
      <w:r w:rsidR="00FE243C">
        <w:t xml:space="preserve"> </w:t>
      </w:r>
      <w:r w:rsidRPr="00FD6978">
        <w:rPr>
          <w:rFonts w:hint="eastAsia"/>
        </w:rPr>
        <w:t xml:space="preserve">need to monitor </w:t>
      </w:r>
      <w:r w:rsidR="00D17680">
        <w:t xml:space="preserve">both the </w:t>
      </w:r>
      <w:r w:rsidRPr="00FD6978">
        <w:rPr>
          <w:rFonts w:hint="eastAsia"/>
        </w:rPr>
        <w:t xml:space="preserve">slot </w:t>
      </w:r>
      <w:r w:rsidRPr="00FD6978">
        <w:t xml:space="preserve">level PDCCH and </w:t>
      </w:r>
      <w:r w:rsidR="00D17680">
        <w:t xml:space="preserve">the </w:t>
      </w:r>
      <w:r w:rsidRPr="00FD6978">
        <w:t>mini-slot level PDCCH</w:t>
      </w:r>
      <w:r w:rsidR="00D17680">
        <w:t>.</w:t>
      </w:r>
      <w:r w:rsidR="00FE243C">
        <w:t xml:space="preserve"> In the</w:t>
      </w:r>
      <w:r w:rsidR="0057420E" w:rsidRPr="00FD6978">
        <w:rPr>
          <w:rFonts w:hint="eastAsia"/>
        </w:rPr>
        <w:t xml:space="preserve"> extreme case</w:t>
      </w:r>
      <w:r w:rsidR="00B830BC" w:rsidRPr="00FD6978">
        <w:t xml:space="preserve">, </w:t>
      </w:r>
      <w:r w:rsidR="00B830BC">
        <w:t>they</w:t>
      </w:r>
      <w:r w:rsidR="00D17680">
        <w:t xml:space="preserve"> could be required to monitor</w:t>
      </w:r>
      <w:r w:rsidR="00FE243C">
        <w:t xml:space="preserve"> </w:t>
      </w:r>
      <w:r w:rsidR="0057420E" w:rsidRPr="00FD6978">
        <w:rPr>
          <w:rFonts w:hint="eastAsia"/>
        </w:rPr>
        <w:t>every OFDM symbol in a slot</w:t>
      </w:r>
      <w:r w:rsidR="00D17680">
        <w:t xml:space="preserve">. It is therefore important to </w:t>
      </w:r>
      <w:r w:rsidR="00B830BC">
        <w:t xml:space="preserve">carefully </w:t>
      </w:r>
      <w:r w:rsidR="00B830BC" w:rsidRPr="00FD6978">
        <w:t>design</w:t>
      </w:r>
      <w:r w:rsidR="00D17680">
        <w:t xml:space="preserve"> the </w:t>
      </w:r>
      <w:r w:rsidR="0057420E" w:rsidRPr="00FD6978">
        <w:rPr>
          <w:rFonts w:hint="eastAsia"/>
        </w:rPr>
        <w:t>monitor</w:t>
      </w:r>
      <w:r w:rsidR="00D17680">
        <w:t>ing</w:t>
      </w:r>
      <w:r w:rsidR="0057420E" w:rsidRPr="00FD6978">
        <w:rPr>
          <w:rFonts w:hint="eastAsia"/>
        </w:rPr>
        <w:t xml:space="preserve"> </w:t>
      </w:r>
      <w:r w:rsidR="00B830BC" w:rsidRPr="00FD6978">
        <w:t>occasions in</w:t>
      </w:r>
      <w:r w:rsidR="00D17680">
        <w:t xml:space="preserve"> order </w:t>
      </w:r>
      <w:r w:rsidR="00B22731" w:rsidRPr="00FD6978">
        <w:rPr>
          <w:rFonts w:hint="eastAsia"/>
        </w:rPr>
        <w:t xml:space="preserve">to decrease </w:t>
      </w:r>
      <w:r w:rsidR="00D17680">
        <w:t xml:space="preserve">the </w:t>
      </w:r>
      <w:r w:rsidR="00B22731" w:rsidRPr="00FD6978">
        <w:rPr>
          <w:rFonts w:hint="eastAsia"/>
        </w:rPr>
        <w:t>power consumpt</w:t>
      </w:r>
      <w:r w:rsidR="00DA16D7" w:rsidRPr="00FD6978">
        <w:rPr>
          <w:rFonts w:hint="eastAsia"/>
        </w:rPr>
        <w:t>ion</w:t>
      </w:r>
      <w:r w:rsidR="00D17680">
        <w:t>, to</w:t>
      </w:r>
      <w:r w:rsidR="00DA16D7" w:rsidRPr="00FD6978">
        <w:rPr>
          <w:rFonts w:hint="eastAsia"/>
        </w:rPr>
        <w:t xml:space="preserve"> </w:t>
      </w:r>
      <w:r w:rsidR="00D17680">
        <w:t>minimize</w:t>
      </w:r>
      <w:r w:rsidR="00DA16D7" w:rsidRPr="00FD6978">
        <w:rPr>
          <w:rFonts w:hint="eastAsia"/>
        </w:rPr>
        <w:t xml:space="preserve"> processing delay</w:t>
      </w:r>
      <w:r w:rsidR="00D17680">
        <w:t xml:space="preserve"> </w:t>
      </w:r>
      <w:r w:rsidR="00DA16D7" w:rsidRPr="00FD6978">
        <w:rPr>
          <w:rFonts w:hint="eastAsia"/>
        </w:rPr>
        <w:t xml:space="preserve">and </w:t>
      </w:r>
      <w:r w:rsidR="00D17680">
        <w:t xml:space="preserve">also to decrease </w:t>
      </w:r>
      <w:r w:rsidR="00DA16D7" w:rsidRPr="00FD6978">
        <w:rPr>
          <w:rFonts w:hint="eastAsia"/>
        </w:rPr>
        <w:t xml:space="preserve">the maximum </w:t>
      </w:r>
      <w:r w:rsidR="00D17680">
        <w:t xml:space="preserve">number of </w:t>
      </w:r>
      <w:r w:rsidR="00DA16D7" w:rsidRPr="00FD6978">
        <w:rPr>
          <w:rFonts w:hint="eastAsia"/>
        </w:rPr>
        <w:t xml:space="preserve">blind </w:t>
      </w:r>
      <w:r w:rsidR="00D17680" w:rsidRPr="00FD6978">
        <w:t>decoding</w:t>
      </w:r>
      <w:r w:rsidR="00D17680">
        <w:t xml:space="preserve"> attempts.</w:t>
      </w:r>
      <w:r w:rsidR="00DA16D7" w:rsidRPr="00FD6978">
        <w:rPr>
          <w:rFonts w:hint="eastAsia"/>
        </w:rPr>
        <w:t xml:space="preserve"> </w:t>
      </w:r>
    </w:p>
    <w:p w:rsidR="00704322" w:rsidRDefault="00DA16D7" w:rsidP="00704322">
      <w:pPr>
        <w:jc w:val="both"/>
      </w:pPr>
      <w:r w:rsidRPr="00FD6978">
        <w:rPr>
          <w:rFonts w:hint="eastAsia"/>
        </w:rPr>
        <w:t xml:space="preserve">Until </w:t>
      </w:r>
      <w:r w:rsidR="00D17680">
        <w:t>the RAN1#</w:t>
      </w:r>
      <w:r w:rsidRPr="00FD6978">
        <w:rPr>
          <w:rFonts w:hint="eastAsia"/>
        </w:rPr>
        <w:t>88bis meeting, it</w:t>
      </w:r>
      <w:r w:rsidR="00D17680">
        <w:t xml:space="preserve"> has not been </w:t>
      </w:r>
      <w:r w:rsidRPr="00FD6978">
        <w:rPr>
          <w:rFonts w:hint="eastAsia"/>
        </w:rPr>
        <w:t xml:space="preserve">clear how to carry out </w:t>
      </w:r>
      <w:r w:rsidR="00D17680">
        <w:t xml:space="preserve">the </w:t>
      </w:r>
      <w:r w:rsidRPr="00FD6978">
        <w:rPr>
          <w:rFonts w:hint="eastAsia"/>
        </w:rPr>
        <w:t>resource allocation for mini-slot scheduling</w:t>
      </w:r>
      <w:r w:rsidR="000666F6">
        <w:t>.</w:t>
      </w:r>
      <w:r w:rsidR="00625794">
        <w:t xml:space="preserve"> </w:t>
      </w:r>
      <w:r w:rsidR="000666F6">
        <w:t>It has only been</w:t>
      </w:r>
      <w:r w:rsidRPr="00FD6978">
        <w:rPr>
          <w:rFonts w:hint="eastAsia"/>
        </w:rPr>
        <w:t xml:space="preserve"> </w:t>
      </w:r>
      <w:r w:rsidRPr="00FD6978">
        <w:t>agreed</w:t>
      </w:r>
      <w:r w:rsidRPr="00FD6978">
        <w:rPr>
          <w:rFonts w:hint="eastAsia"/>
        </w:rPr>
        <w:t xml:space="preserve"> </w:t>
      </w:r>
      <w:r w:rsidR="000666F6">
        <w:t xml:space="preserve">that both </w:t>
      </w:r>
      <w:r w:rsidRPr="00FD6978">
        <w:rPr>
          <w:rFonts w:hint="eastAsia"/>
        </w:rPr>
        <w:t xml:space="preserve">grant-free </w:t>
      </w:r>
      <w:r w:rsidR="000666F6">
        <w:t xml:space="preserve">access </w:t>
      </w:r>
      <w:r w:rsidRPr="00FD6978">
        <w:rPr>
          <w:rFonts w:hint="eastAsia"/>
        </w:rPr>
        <w:t>and dynamic scheduling sh</w:t>
      </w:r>
      <w:r w:rsidR="000666F6">
        <w:t>all</w:t>
      </w:r>
      <w:r w:rsidRPr="00FD6978">
        <w:rPr>
          <w:rFonts w:hint="eastAsia"/>
        </w:rPr>
        <w:t xml:space="preserve"> be</w:t>
      </w:r>
      <w:r w:rsidR="000666F6">
        <w:t xml:space="preserve"> </w:t>
      </w:r>
      <w:r w:rsidRPr="00FD6978">
        <w:rPr>
          <w:rFonts w:hint="eastAsia"/>
        </w:rPr>
        <w:t>supported</w:t>
      </w:r>
      <w:r w:rsidR="000666F6">
        <w:t>.</w:t>
      </w:r>
      <w:r w:rsidRPr="00FD6978">
        <w:rPr>
          <w:rFonts w:hint="eastAsia"/>
        </w:rPr>
        <w:t xml:space="preserve"> </w:t>
      </w:r>
      <w:r w:rsidR="00911DBF">
        <w:t>The monitoring period should be just short enough to satisfy the URLLC delay requirements and could be configured semi-sta</w:t>
      </w:r>
      <w:r w:rsidR="005A571A">
        <w:t>t</w:t>
      </w:r>
      <w:r w:rsidR="00911DBF">
        <w:t>ically</w:t>
      </w:r>
      <w:r w:rsidR="00625794">
        <w:t xml:space="preserve">. </w:t>
      </w:r>
    </w:p>
    <w:p w:rsidR="00704322" w:rsidRDefault="00625794" w:rsidP="00704322">
      <w:pPr>
        <w:jc w:val="both"/>
      </w:pPr>
      <w:r>
        <w:t>For instance, t</w:t>
      </w:r>
      <w:r w:rsidR="005A571A">
        <w:t>he gNB can use the sub-frame boundaries as timing reference and then would set up the PDCCH monitoring occasions, e.g. every 4</w:t>
      </w:r>
      <w:r w:rsidR="00EA7283" w:rsidRPr="00EA7283">
        <w:rPr>
          <w:vertAlign w:val="superscript"/>
        </w:rPr>
        <w:t>th</w:t>
      </w:r>
      <w:r w:rsidR="005A571A">
        <w:t xml:space="preserve"> symbol cou</w:t>
      </w:r>
      <w:r>
        <w:t xml:space="preserve">nted from the reference </w:t>
      </w:r>
      <w:r w:rsidR="005A571A">
        <w:t>as illustrated in Figure 2 below</w:t>
      </w:r>
      <w:r w:rsidR="00ED70F6">
        <w:t>.</w:t>
      </w:r>
      <w:r w:rsidR="005A571A" w:rsidRPr="00FD6978" w:rsidDel="005A571A">
        <w:rPr>
          <w:rFonts w:hint="eastAsia"/>
        </w:rPr>
        <w:t xml:space="preserve"> </w:t>
      </w:r>
    </w:p>
    <w:p w:rsidR="00ED70F6" w:rsidRDefault="002F1289" w:rsidP="00ED70F6">
      <w:pPr>
        <w:jc w:val="center"/>
      </w:pPr>
      <w:r>
        <w:rPr>
          <w:noProof/>
          <w:lang w:val="sv-SE" w:eastAsia="sv-SE"/>
        </w:rPr>
        <w:drawing>
          <wp:inline distT="0" distB="0" distL="0" distR="0">
            <wp:extent cx="4852873" cy="2640715"/>
            <wp:effectExtent l="19050" t="0" r="4877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495" cy="264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322" w:rsidRPr="00704322" w:rsidRDefault="00704322" w:rsidP="00ED70F6">
      <w:pPr>
        <w:jc w:val="center"/>
        <w:rPr>
          <w:color w:val="0070C0"/>
        </w:rPr>
      </w:pPr>
      <w:r w:rsidRPr="00704322">
        <w:t>Fig. 2: An illustration of slot and mini-slot PDCCH monitoring occasions. The mini-slot monitoring occasion</w:t>
      </w:r>
      <w:r w:rsidR="00621BA3">
        <w:rPr>
          <w:rFonts w:hint="eastAsia"/>
        </w:rPr>
        <w:t>s</w:t>
      </w:r>
      <w:r w:rsidRPr="00704322">
        <w:t xml:space="preserve"> are defined relatively to the sub-frame boundary. In case of concurrent slot and mini-slot PDCCH monitoring occasions, one of them could get higher priority or also both are monitored</w:t>
      </w:r>
    </w:p>
    <w:p w:rsidR="00326ADC" w:rsidRDefault="00326ADC" w:rsidP="0099534D"/>
    <w:p w:rsidR="00704322" w:rsidRDefault="00B50516" w:rsidP="00704322">
      <w:pPr>
        <w:jc w:val="both"/>
      </w:pPr>
      <w:r>
        <w:t xml:space="preserve">When URLLC services are pre-empting eMBB data, the gNB scheduler </w:t>
      </w:r>
      <w:r w:rsidR="00625794">
        <w:t xml:space="preserve">should avoid </w:t>
      </w:r>
      <w:r w:rsidR="00B830BC">
        <w:t>puncturing</w:t>
      </w:r>
      <w:r>
        <w:t xml:space="preserve"> vital eMBB symbols, such as the eMBB-PDCCH or the eMBB-DMRS. It could therefore be possible that the scheduler sometimes wants to shift the mini-slot transmission by one symbol compared </w:t>
      </w:r>
      <w:r w:rsidR="00F417C1">
        <w:t>to the regular pattern which is shown in Figure 2 above.</w:t>
      </w:r>
    </w:p>
    <w:p w:rsidR="00704322" w:rsidRDefault="00F417C1" w:rsidP="00704322">
      <w:pPr>
        <w:jc w:val="both"/>
      </w:pPr>
      <w:r>
        <w:t>Thus, it could be studied if it is feasible for the UE to support an irregular monitoring pattern. This could be achieved by setting up two regular patterns, e.g. every 4</w:t>
      </w:r>
      <w:r w:rsidR="00EA7283" w:rsidRPr="00EA7283">
        <w:rPr>
          <w:vertAlign w:val="superscript"/>
        </w:rPr>
        <w:t>th</w:t>
      </w:r>
      <w:r>
        <w:t xml:space="preserve"> and every 5</w:t>
      </w:r>
      <w:r w:rsidR="00621BA3" w:rsidRPr="00EA7283">
        <w:rPr>
          <w:vertAlign w:val="superscript"/>
        </w:rPr>
        <w:t>th</w:t>
      </w:r>
      <w:r>
        <w:t xml:space="preserve"> symbol counted from the sub-frame boundary. An example is shown in Figure 3 below.</w:t>
      </w:r>
    </w:p>
    <w:p w:rsidR="00D07EBC" w:rsidRDefault="002F1289" w:rsidP="00ED70F6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>
            <wp:extent cx="5420563" cy="2532270"/>
            <wp:effectExtent l="0" t="0" r="8687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229" cy="2530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794" w:rsidRPr="00621BA3" w:rsidRDefault="00704322" w:rsidP="00D07EBC">
      <w:pPr>
        <w:jc w:val="center"/>
      </w:pPr>
      <w:r w:rsidRPr="00704322">
        <w:t>Fig 3 Irregular PDCCH monitoring to give the scheduler more flexibility to avoid puncturing vital eMBB symbols (such as eMBB-DMRS). This can be achieved by setting up two regular PDCCH monitoring patterns</w:t>
      </w:r>
    </w:p>
    <w:p w:rsidR="00625794" w:rsidRDefault="00625794" w:rsidP="00625794">
      <w:pPr>
        <w:rPr>
          <w:b/>
        </w:rPr>
      </w:pPr>
    </w:p>
    <w:p w:rsidR="00625794" w:rsidRPr="00ED70F6" w:rsidRDefault="00625794" w:rsidP="00625794">
      <w:pPr>
        <w:rPr>
          <w:b/>
          <w:i/>
        </w:rPr>
      </w:pPr>
      <w:r w:rsidRPr="00ED70F6">
        <w:rPr>
          <w:b/>
          <w:i/>
        </w:rPr>
        <w:t>Proposal 2: Sub-frame boundaries shall be used as timing reference for PDCCH monitoring occasions</w:t>
      </w:r>
      <w:r w:rsidR="00621BA3" w:rsidRPr="00ED70F6">
        <w:rPr>
          <w:rFonts w:hint="eastAsia"/>
          <w:b/>
          <w:i/>
        </w:rPr>
        <w:t>.</w:t>
      </w:r>
    </w:p>
    <w:p w:rsidR="00625794" w:rsidRPr="00ED70F6" w:rsidRDefault="00625794" w:rsidP="00625794">
      <w:pPr>
        <w:rPr>
          <w:b/>
          <w:i/>
        </w:rPr>
      </w:pPr>
      <w:r w:rsidRPr="00ED70F6">
        <w:rPr>
          <w:b/>
          <w:i/>
        </w:rPr>
        <w:t xml:space="preserve">Proposal 3: </w:t>
      </w:r>
      <w:r w:rsidR="009B6FEC" w:rsidRPr="00ED70F6">
        <w:rPr>
          <w:b/>
          <w:i/>
        </w:rPr>
        <w:t xml:space="preserve">A UE </w:t>
      </w:r>
      <w:r w:rsidR="00ED70F6" w:rsidRPr="00ED70F6">
        <w:rPr>
          <w:b/>
          <w:i/>
        </w:rPr>
        <w:t>may be</w:t>
      </w:r>
      <w:r w:rsidR="009B6FEC" w:rsidRPr="00ED70F6">
        <w:rPr>
          <w:b/>
          <w:i/>
        </w:rPr>
        <w:t xml:space="preserve"> configured with more than one mini-slot PDCCH monitoring pattern.</w:t>
      </w:r>
    </w:p>
    <w:p w:rsidR="00D07EBC" w:rsidRPr="00625794" w:rsidRDefault="00AB2459" w:rsidP="00D07EBC">
      <w:pPr>
        <w:jc w:val="center"/>
        <w:rPr>
          <w:b/>
          <w:szCs w:val="20"/>
        </w:rPr>
      </w:pPr>
      <w:r w:rsidRPr="00625794">
        <w:rPr>
          <w:b/>
        </w:rPr>
        <w:t xml:space="preserve"> </w:t>
      </w:r>
    </w:p>
    <w:p w:rsidR="00CA4F0A" w:rsidRPr="00625794" w:rsidRDefault="00AB2459" w:rsidP="00625794">
      <w:pPr>
        <w:pStyle w:val="Heading2"/>
        <w:ind w:left="578" w:hanging="578"/>
        <w:rPr>
          <w:rFonts w:ascii="Arial" w:hAnsi="Arial" w:cs="Arial"/>
          <w:sz w:val="28"/>
          <w:szCs w:val="28"/>
        </w:rPr>
      </w:pPr>
      <w:r w:rsidRPr="00625794">
        <w:rPr>
          <w:rFonts w:ascii="Arial" w:hAnsi="Arial" w:cs="Arial"/>
          <w:sz w:val="28"/>
          <w:szCs w:val="28"/>
        </w:rPr>
        <w:t>M</w:t>
      </w:r>
      <w:r w:rsidR="00E21C7B" w:rsidRPr="00625794">
        <w:rPr>
          <w:rFonts w:ascii="Arial" w:hAnsi="Arial" w:cs="Arial"/>
          <w:sz w:val="28"/>
          <w:szCs w:val="28"/>
        </w:rPr>
        <w:t>ax</w:t>
      </w:r>
      <w:r w:rsidRPr="00625794">
        <w:rPr>
          <w:rFonts w:ascii="Arial" w:hAnsi="Arial" w:cs="Arial"/>
          <w:sz w:val="28"/>
          <w:szCs w:val="28"/>
        </w:rPr>
        <w:t>imum</w:t>
      </w:r>
      <w:r w:rsidR="00625794">
        <w:rPr>
          <w:rFonts w:ascii="Arial" w:hAnsi="Arial" w:cs="Arial"/>
          <w:sz w:val="28"/>
          <w:szCs w:val="28"/>
        </w:rPr>
        <w:t xml:space="preserve"> number of blind detection</w:t>
      </w:r>
      <w:r w:rsidR="00E21C7B" w:rsidRPr="00625794">
        <w:rPr>
          <w:rFonts w:ascii="Arial" w:hAnsi="Arial" w:cs="Arial"/>
          <w:sz w:val="28"/>
          <w:szCs w:val="28"/>
        </w:rPr>
        <w:t xml:space="preserve"> candidates</w:t>
      </w:r>
    </w:p>
    <w:p w:rsidR="00704322" w:rsidRDefault="004A1A7F" w:rsidP="00704322">
      <w:pPr>
        <w:jc w:val="both"/>
      </w:pPr>
      <w:r w:rsidRPr="00FD6978">
        <w:rPr>
          <w:rFonts w:hint="eastAsia"/>
        </w:rPr>
        <w:t xml:space="preserve">For </w:t>
      </w:r>
      <w:r w:rsidR="00AB2459">
        <w:t>u</w:t>
      </w:r>
      <w:r w:rsidRPr="00FD6978">
        <w:rPr>
          <w:rFonts w:hint="eastAsia"/>
        </w:rPr>
        <w:t>se</w:t>
      </w:r>
      <w:r w:rsidR="00AB2459">
        <w:t xml:space="preserve"> </w:t>
      </w:r>
      <w:r w:rsidRPr="00FD6978">
        <w:rPr>
          <w:rFonts w:hint="eastAsia"/>
        </w:rPr>
        <w:t xml:space="preserve">case1, the total number of BD Candidates including all possible USS, CSS, should not </w:t>
      </w:r>
      <w:r w:rsidR="00AB2459">
        <w:t>be more than</w:t>
      </w:r>
      <w:r w:rsidR="00625794">
        <w:rPr>
          <w:rFonts w:hint="eastAsia"/>
        </w:rPr>
        <w:t xml:space="preserve"> </w:t>
      </w:r>
      <w:r w:rsidR="00625794">
        <w:t>a</w:t>
      </w:r>
      <w:r w:rsidR="00625794">
        <w:rPr>
          <w:rFonts w:hint="eastAsia"/>
        </w:rPr>
        <w:t xml:space="preserve"> maximum </w:t>
      </w:r>
      <w:r w:rsidRPr="00FD6978">
        <w:rPr>
          <w:rFonts w:hint="eastAsia"/>
        </w:rPr>
        <w:t>number N</w:t>
      </w:r>
      <w:r w:rsidR="00AB2459">
        <w:t>.</w:t>
      </w:r>
      <w:r w:rsidRPr="00FD6978">
        <w:rPr>
          <w:rFonts w:hint="eastAsia"/>
        </w:rPr>
        <w:t xml:space="preserve"> </w:t>
      </w:r>
      <w:r w:rsidR="00AB2459">
        <w:t>As a starting point</w:t>
      </w:r>
      <w:r w:rsidRPr="00FD6978">
        <w:rPr>
          <w:rFonts w:hint="eastAsia"/>
        </w:rPr>
        <w:t xml:space="preserve"> N=44 </w:t>
      </w:r>
      <w:r w:rsidR="00AB2459">
        <w:t xml:space="preserve">as </w:t>
      </w:r>
      <w:r w:rsidRPr="00FD6978">
        <w:rPr>
          <w:rFonts w:hint="eastAsia"/>
        </w:rPr>
        <w:t xml:space="preserve">in LTE can be </w:t>
      </w:r>
      <w:r w:rsidR="00AB2459">
        <w:t xml:space="preserve">used </w:t>
      </w:r>
      <w:r w:rsidRPr="00FD6978">
        <w:rPr>
          <w:rFonts w:hint="eastAsia"/>
        </w:rPr>
        <w:t>as reference value.</w:t>
      </w:r>
    </w:p>
    <w:p w:rsidR="00704322" w:rsidRDefault="00C54951" w:rsidP="00704322">
      <w:pPr>
        <w:jc w:val="both"/>
      </w:pPr>
      <w:r w:rsidRPr="00FD6978">
        <w:rPr>
          <w:rFonts w:hint="eastAsia"/>
        </w:rPr>
        <w:t xml:space="preserve">For </w:t>
      </w:r>
      <w:r w:rsidR="00AB2459">
        <w:t>u</w:t>
      </w:r>
      <w:r w:rsidRPr="00FD6978">
        <w:rPr>
          <w:rFonts w:hint="eastAsia"/>
        </w:rPr>
        <w:t>se</w:t>
      </w:r>
      <w:r w:rsidR="00AB2459">
        <w:t xml:space="preserve"> </w:t>
      </w:r>
      <w:r w:rsidRPr="00FD6978">
        <w:rPr>
          <w:rFonts w:hint="eastAsia"/>
        </w:rPr>
        <w:t>case</w:t>
      </w:r>
      <w:r w:rsidR="00AB2459">
        <w:t xml:space="preserve"> </w:t>
      </w:r>
      <w:r w:rsidRPr="00FD6978">
        <w:rPr>
          <w:rFonts w:hint="eastAsia"/>
        </w:rPr>
        <w:t xml:space="preserve">2, </w:t>
      </w:r>
      <w:r w:rsidR="00AB2459">
        <w:t>during</w:t>
      </w:r>
      <w:r w:rsidRPr="00FD6978">
        <w:rPr>
          <w:rFonts w:hint="eastAsia"/>
        </w:rPr>
        <w:t xml:space="preserve"> one slot, there </w:t>
      </w:r>
      <w:r w:rsidR="00AB2459">
        <w:t xml:space="preserve">will be both </w:t>
      </w:r>
      <w:r w:rsidR="009B6FEC">
        <w:t>slots</w:t>
      </w:r>
      <w:r w:rsidR="00AB2459">
        <w:t xml:space="preserve"> level and mini-slots level blind decodes. According to the dis</w:t>
      </w:r>
      <w:r w:rsidR="00734D5C">
        <w:t xml:space="preserve">cussions in section 2.3, </w:t>
      </w:r>
      <w:r w:rsidR="009B6FEC">
        <w:t xml:space="preserve">to </w:t>
      </w:r>
      <w:r w:rsidR="00734D5C">
        <w:t>use one common value of N for both will be too coarse</w:t>
      </w:r>
      <w:r w:rsidR="009B6FEC">
        <w:t xml:space="preserve">. Instead </w:t>
      </w:r>
      <w:r w:rsidR="00734D5C">
        <w:t>two separate maximum number</w:t>
      </w:r>
      <w:r w:rsidR="009B6FEC">
        <w:t>s</w:t>
      </w:r>
      <w:r w:rsidR="00734D5C">
        <w:t xml:space="preserve"> N1</w:t>
      </w:r>
      <w:r w:rsidR="009B6FEC">
        <w:t xml:space="preserve"> (for slot level blind decodes) </w:t>
      </w:r>
      <w:r w:rsidR="00734D5C">
        <w:t xml:space="preserve">and N2 </w:t>
      </w:r>
      <w:r w:rsidR="009B6FEC">
        <w:t>(for mini-slot level blind decodes) should be used</w:t>
      </w:r>
      <w:r w:rsidR="00734D5C">
        <w:t>.</w:t>
      </w:r>
      <w:r w:rsidR="009B6FEC">
        <w:t xml:space="preserve"> </w:t>
      </w:r>
      <w:r w:rsidRPr="00FD6978">
        <w:rPr>
          <w:rFonts w:hint="eastAsia"/>
        </w:rPr>
        <w:t xml:space="preserve">N1 can </w:t>
      </w:r>
      <w:r w:rsidR="00734D5C">
        <w:t>use N from use case 1 as upper bound</w:t>
      </w:r>
      <w:r w:rsidR="009B6FEC">
        <w:t xml:space="preserve">. </w:t>
      </w:r>
    </w:p>
    <w:p w:rsidR="00AB657B" w:rsidRPr="00AB657B" w:rsidRDefault="00AB657B" w:rsidP="00E21C7B"/>
    <w:p w:rsidR="009E02B9" w:rsidRDefault="002538C0" w:rsidP="003A132C">
      <w:pPr>
        <w:pStyle w:val="Heading1"/>
        <w:rPr>
          <w:lang w:val="en-US"/>
        </w:rPr>
      </w:pPr>
      <w:r w:rsidRPr="009A2393">
        <w:rPr>
          <w:rFonts w:hint="eastAsia"/>
          <w:lang w:val="en-US"/>
        </w:rPr>
        <w:t>Conclusion</w:t>
      </w:r>
    </w:p>
    <w:p w:rsidR="004D72CA" w:rsidRDefault="00A136E5" w:rsidP="009D42AC">
      <w:pPr>
        <w:rPr>
          <w:szCs w:val="20"/>
        </w:rPr>
      </w:pPr>
      <w:r w:rsidRPr="00A024F5">
        <w:rPr>
          <w:rFonts w:hint="eastAsia"/>
          <w:szCs w:val="20"/>
        </w:rPr>
        <w:t xml:space="preserve">In this contribution, we </w:t>
      </w:r>
      <w:r w:rsidR="00A024F5">
        <w:rPr>
          <w:rFonts w:hint="eastAsia"/>
          <w:szCs w:val="20"/>
        </w:rPr>
        <w:t xml:space="preserve">discussed the transmission of common control signals in NR </w:t>
      </w:r>
      <w:r w:rsidR="009B6FEC">
        <w:rPr>
          <w:rFonts w:hint="eastAsia"/>
          <w:szCs w:val="20"/>
        </w:rPr>
        <w:t xml:space="preserve">and </w:t>
      </w:r>
      <w:r w:rsidR="009B6FEC">
        <w:rPr>
          <w:szCs w:val="20"/>
        </w:rPr>
        <w:t>make the following proposals:</w:t>
      </w:r>
    </w:p>
    <w:p w:rsidR="009B6FEC" w:rsidRPr="00ED70F6" w:rsidRDefault="009B6FEC" w:rsidP="009B6FEC">
      <w:pPr>
        <w:rPr>
          <w:b/>
          <w:i/>
        </w:rPr>
      </w:pPr>
      <w:r w:rsidRPr="00ED70F6">
        <w:rPr>
          <w:b/>
          <w:i/>
        </w:rPr>
        <w:t>Proposal 1: For slot-level PDCCH monitoring, the CSS monitoring can be configured in multiple number of slots</w:t>
      </w:r>
    </w:p>
    <w:p w:rsidR="009B6FEC" w:rsidRPr="00ED70F6" w:rsidRDefault="009B6FEC" w:rsidP="009B6FEC">
      <w:pPr>
        <w:rPr>
          <w:b/>
          <w:i/>
        </w:rPr>
      </w:pPr>
      <w:r w:rsidRPr="00ED70F6">
        <w:rPr>
          <w:b/>
          <w:i/>
        </w:rPr>
        <w:t>Proposal 2: Sub-frame boundaries shall be used as timing reference for PDCCH monitoring occasions</w:t>
      </w:r>
    </w:p>
    <w:p w:rsidR="00817103" w:rsidRPr="00ED70F6" w:rsidRDefault="009B6FEC" w:rsidP="009D42AC">
      <w:pPr>
        <w:rPr>
          <w:b/>
          <w:i/>
        </w:rPr>
      </w:pPr>
      <w:r w:rsidRPr="00ED70F6">
        <w:rPr>
          <w:b/>
          <w:i/>
        </w:rPr>
        <w:t xml:space="preserve">Proposal 3: A UE </w:t>
      </w:r>
      <w:r w:rsidR="00ED70F6" w:rsidRPr="00ED70F6">
        <w:rPr>
          <w:b/>
          <w:i/>
        </w:rPr>
        <w:t>may be</w:t>
      </w:r>
      <w:r w:rsidRPr="00ED70F6">
        <w:rPr>
          <w:b/>
          <w:i/>
        </w:rPr>
        <w:t xml:space="preserve"> configured with more than one mini-slot PDCCH monitoring pattern</w:t>
      </w:r>
    </w:p>
    <w:p w:rsidR="009E02B9" w:rsidRDefault="002538C0" w:rsidP="003A132C">
      <w:pPr>
        <w:pStyle w:val="Heading1"/>
        <w:rPr>
          <w:lang w:val="en-US"/>
        </w:rPr>
      </w:pPr>
      <w:r w:rsidRPr="003A132C">
        <w:rPr>
          <w:rFonts w:hint="eastAsia"/>
        </w:rPr>
        <w:t>Reference</w:t>
      </w:r>
      <w:r w:rsidRPr="003A132C">
        <w:t>s</w:t>
      </w:r>
      <w:r w:rsidRPr="009A2393">
        <w:rPr>
          <w:rFonts w:hint="eastAsia"/>
          <w:lang w:val="en-US"/>
        </w:rPr>
        <w:t xml:space="preserve"> </w:t>
      </w:r>
    </w:p>
    <w:p w:rsidR="00704322" w:rsidRDefault="00155F69" w:rsidP="00704322">
      <w:pPr>
        <w:pStyle w:val="2222"/>
        <w:numPr>
          <w:ilvl w:val="0"/>
          <w:numId w:val="2"/>
        </w:numPr>
        <w:spacing w:after="120" w:line="276" w:lineRule="auto"/>
        <w:ind w:left="357" w:firstLineChars="0" w:hanging="357"/>
      </w:pPr>
      <w:r w:rsidRPr="007C235D">
        <w:t xml:space="preserve">3GPP </w:t>
      </w:r>
      <w:r>
        <w:t xml:space="preserve">RAN1 86bis meeting </w:t>
      </w:r>
      <w:r w:rsidRPr="007C235D">
        <w:t>Chairman's Notes</w:t>
      </w:r>
      <w:r>
        <w:t>.</w:t>
      </w:r>
    </w:p>
    <w:p w:rsidR="002D6DCF" w:rsidRPr="00155F69" w:rsidRDefault="002D6DCF" w:rsidP="002538C0">
      <w:pPr>
        <w:rPr>
          <w:szCs w:val="20"/>
        </w:rPr>
      </w:pPr>
    </w:p>
    <w:sectPr w:rsidR="002D6DCF" w:rsidRPr="00155F69" w:rsidSect="009B5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4D8" w:rsidRDefault="00CA24D8">
      <w:r>
        <w:separator/>
      </w:r>
    </w:p>
  </w:endnote>
  <w:endnote w:type="continuationSeparator" w:id="0">
    <w:p w:rsidR="00CA24D8" w:rsidRDefault="00CA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4D8" w:rsidRDefault="00CA24D8">
      <w:r>
        <w:separator/>
      </w:r>
    </w:p>
  </w:footnote>
  <w:footnote w:type="continuationSeparator" w:id="0">
    <w:p w:rsidR="00CA24D8" w:rsidRDefault="00CA24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77C4752"/>
    <w:multiLevelType w:val="hybridMultilevel"/>
    <w:tmpl w:val="9E1040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2E291D71"/>
    <w:multiLevelType w:val="multilevel"/>
    <w:tmpl w:val="80941DF8"/>
    <w:lvl w:ilvl="0">
      <w:start w:val="1"/>
      <w:numFmt w:val="decimal"/>
      <w:pStyle w:val="4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3A84489"/>
    <w:multiLevelType w:val="hybridMultilevel"/>
    <w:tmpl w:val="BB2C3912"/>
    <w:lvl w:ilvl="0" w:tplc="D05E2C9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52D02D02"/>
    <w:multiLevelType w:val="hybridMultilevel"/>
    <w:tmpl w:val="88A6EDAC"/>
    <w:lvl w:ilvl="0" w:tplc="0AB6454A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B1757E5"/>
    <w:multiLevelType w:val="multilevel"/>
    <w:tmpl w:val="60563E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26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E760327"/>
    <w:multiLevelType w:val="multilevel"/>
    <w:tmpl w:val="9FF2AC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FFB"/>
    <w:rsid w:val="00001225"/>
    <w:rsid w:val="00001F6C"/>
    <w:rsid w:val="00002071"/>
    <w:rsid w:val="00002EA0"/>
    <w:rsid w:val="0000557C"/>
    <w:rsid w:val="000055D1"/>
    <w:rsid w:val="000062AC"/>
    <w:rsid w:val="000066E7"/>
    <w:rsid w:val="00006A0E"/>
    <w:rsid w:val="0000705B"/>
    <w:rsid w:val="00007304"/>
    <w:rsid w:val="00007B64"/>
    <w:rsid w:val="00012E08"/>
    <w:rsid w:val="00012E58"/>
    <w:rsid w:val="000132A2"/>
    <w:rsid w:val="00013BD1"/>
    <w:rsid w:val="00014115"/>
    <w:rsid w:val="00014604"/>
    <w:rsid w:val="00014B48"/>
    <w:rsid w:val="00014D8C"/>
    <w:rsid w:val="00015DBB"/>
    <w:rsid w:val="00015F44"/>
    <w:rsid w:val="00017916"/>
    <w:rsid w:val="00017D67"/>
    <w:rsid w:val="00017E34"/>
    <w:rsid w:val="0002066E"/>
    <w:rsid w:val="00020D97"/>
    <w:rsid w:val="0002249A"/>
    <w:rsid w:val="00022C5F"/>
    <w:rsid w:val="00023067"/>
    <w:rsid w:val="000231D0"/>
    <w:rsid w:val="00023951"/>
    <w:rsid w:val="00023E79"/>
    <w:rsid w:val="000244B9"/>
    <w:rsid w:val="00024A6E"/>
    <w:rsid w:val="00025695"/>
    <w:rsid w:val="00026404"/>
    <w:rsid w:val="00026B95"/>
    <w:rsid w:val="00026C59"/>
    <w:rsid w:val="000271B7"/>
    <w:rsid w:val="00027A85"/>
    <w:rsid w:val="00027D0A"/>
    <w:rsid w:val="00027E02"/>
    <w:rsid w:val="0003074F"/>
    <w:rsid w:val="00030C02"/>
    <w:rsid w:val="0003128F"/>
    <w:rsid w:val="00031458"/>
    <w:rsid w:val="000322B0"/>
    <w:rsid w:val="000332EA"/>
    <w:rsid w:val="00033359"/>
    <w:rsid w:val="0003348A"/>
    <w:rsid w:val="00033D39"/>
    <w:rsid w:val="0003404C"/>
    <w:rsid w:val="000341C4"/>
    <w:rsid w:val="0003534A"/>
    <w:rsid w:val="00036250"/>
    <w:rsid w:val="00036872"/>
    <w:rsid w:val="00037242"/>
    <w:rsid w:val="0003750E"/>
    <w:rsid w:val="00037AF2"/>
    <w:rsid w:val="0004015F"/>
    <w:rsid w:val="00041CBB"/>
    <w:rsid w:val="00041F46"/>
    <w:rsid w:val="0004242E"/>
    <w:rsid w:val="00043334"/>
    <w:rsid w:val="00043886"/>
    <w:rsid w:val="000442B0"/>
    <w:rsid w:val="00044C0B"/>
    <w:rsid w:val="00044E13"/>
    <w:rsid w:val="00044FF3"/>
    <w:rsid w:val="00045194"/>
    <w:rsid w:val="00045271"/>
    <w:rsid w:val="000458E6"/>
    <w:rsid w:val="00045E51"/>
    <w:rsid w:val="00045F11"/>
    <w:rsid w:val="00046405"/>
    <w:rsid w:val="00046EFA"/>
    <w:rsid w:val="000476D8"/>
    <w:rsid w:val="000505BE"/>
    <w:rsid w:val="00051A81"/>
    <w:rsid w:val="00051CF3"/>
    <w:rsid w:val="00052661"/>
    <w:rsid w:val="00052E69"/>
    <w:rsid w:val="00053425"/>
    <w:rsid w:val="00054700"/>
    <w:rsid w:val="00055624"/>
    <w:rsid w:val="00055A7A"/>
    <w:rsid w:val="00056618"/>
    <w:rsid w:val="0005716B"/>
    <w:rsid w:val="00057AC7"/>
    <w:rsid w:val="0006006B"/>
    <w:rsid w:val="000600F5"/>
    <w:rsid w:val="000609B5"/>
    <w:rsid w:val="00062143"/>
    <w:rsid w:val="000624B4"/>
    <w:rsid w:val="000627C2"/>
    <w:rsid w:val="0006282E"/>
    <w:rsid w:val="00062DBD"/>
    <w:rsid w:val="00062F51"/>
    <w:rsid w:val="00063674"/>
    <w:rsid w:val="0006414C"/>
    <w:rsid w:val="0006558C"/>
    <w:rsid w:val="0006591D"/>
    <w:rsid w:val="00065D29"/>
    <w:rsid w:val="00066556"/>
    <w:rsid w:val="000666F6"/>
    <w:rsid w:val="00066A38"/>
    <w:rsid w:val="00066ED8"/>
    <w:rsid w:val="000672C8"/>
    <w:rsid w:val="000673C8"/>
    <w:rsid w:val="00067F36"/>
    <w:rsid w:val="00071F92"/>
    <w:rsid w:val="000727E4"/>
    <w:rsid w:val="00073316"/>
    <w:rsid w:val="000737FB"/>
    <w:rsid w:val="00073A92"/>
    <w:rsid w:val="00074888"/>
    <w:rsid w:val="000768A6"/>
    <w:rsid w:val="0007696E"/>
    <w:rsid w:val="000773A0"/>
    <w:rsid w:val="0008046A"/>
    <w:rsid w:val="00080BB6"/>
    <w:rsid w:val="000814CF"/>
    <w:rsid w:val="0008169B"/>
    <w:rsid w:val="000819B7"/>
    <w:rsid w:val="00082030"/>
    <w:rsid w:val="00082089"/>
    <w:rsid w:val="00082E4E"/>
    <w:rsid w:val="00084956"/>
    <w:rsid w:val="0008503B"/>
    <w:rsid w:val="0008525F"/>
    <w:rsid w:val="00086248"/>
    <w:rsid w:val="000867CC"/>
    <w:rsid w:val="00086838"/>
    <w:rsid w:val="00086E8E"/>
    <w:rsid w:val="0008720C"/>
    <w:rsid w:val="00090025"/>
    <w:rsid w:val="000902F8"/>
    <w:rsid w:val="00090F05"/>
    <w:rsid w:val="0009167F"/>
    <w:rsid w:val="00091C60"/>
    <w:rsid w:val="00092B46"/>
    <w:rsid w:val="0009334E"/>
    <w:rsid w:val="000934B3"/>
    <w:rsid w:val="0009474A"/>
    <w:rsid w:val="00094955"/>
    <w:rsid w:val="00094963"/>
    <w:rsid w:val="00096998"/>
    <w:rsid w:val="000969E8"/>
    <w:rsid w:val="00097059"/>
    <w:rsid w:val="00097434"/>
    <w:rsid w:val="0009766A"/>
    <w:rsid w:val="000A088C"/>
    <w:rsid w:val="000A0EAC"/>
    <w:rsid w:val="000A1279"/>
    <w:rsid w:val="000A12B0"/>
    <w:rsid w:val="000A145E"/>
    <w:rsid w:val="000A14CF"/>
    <w:rsid w:val="000A27D6"/>
    <w:rsid w:val="000A3632"/>
    <w:rsid w:val="000A61C7"/>
    <w:rsid w:val="000A6303"/>
    <w:rsid w:val="000A7F0F"/>
    <w:rsid w:val="000B0383"/>
    <w:rsid w:val="000B0D66"/>
    <w:rsid w:val="000B1F25"/>
    <w:rsid w:val="000B1F46"/>
    <w:rsid w:val="000B391D"/>
    <w:rsid w:val="000B3B98"/>
    <w:rsid w:val="000B3D67"/>
    <w:rsid w:val="000B3FCA"/>
    <w:rsid w:val="000B4772"/>
    <w:rsid w:val="000B6A62"/>
    <w:rsid w:val="000B6BF0"/>
    <w:rsid w:val="000B6CCA"/>
    <w:rsid w:val="000B6E5F"/>
    <w:rsid w:val="000B76B1"/>
    <w:rsid w:val="000B7B43"/>
    <w:rsid w:val="000C050C"/>
    <w:rsid w:val="000C1D3E"/>
    <w:rsid w:val="000C20FA"/>
    <w:rsid w:val="000C2622"/>
    <w:rsid w:val="000C2810"/>
    <w:rsid w:val="000C29C1"/>
    <w:rsid w:val="000C4ECD"/>
    <w:rsid w:val="000C4FFD"/>
    <w:rsid w:val="000C60BE"/>
    <w:rsid w:val="000C64C0"/>
    <w:rsid w:val="000C6C88"/>
    <w:rsid w:val="000D1B0E"/>
    <w:rsid w:val="000D2782"/>
    <w:rsid w:val="000D2C0B"/>
    <w:rsid w:val="000D3518"/>
    <w:rsid w:val="000D3F03"/>
    <w:rsid w:val="000D463D"/>
    <w:rsid w:val="000D4ECB"/>
    <w:rsid w:val="000D5EAA"/>
    <w:rsid w:val="000D645A"/>
    <w:rsid w:val="000D744C"/>
    <w:rsid w:val="000E0044"/>
    <w:rsid w:val="000E0C5D"/>
    <w:rsid w:val="000E0F41"/>
    <w:rsid w:val="000E113F"/>
    <w:rsid w:val="000E2524"/>
    <w:rsid w:val="000E2F5A"/>
    <w:rsid w:val="000E31C9"/>
    <w:rsid w:val="000E3D52"/>
    <w:rsid w:val="000E3D57"/>
    <w:rsid w:val="000E3FC6"/>
    <w:rsid w:val="000E4B60"/>
    <w:rsid w:val="000E6C30"/>
    <w:rsid w:val="000E6F0E"/>
    <w:rsid w:val="000E77D6"/>
    <w:rsid w:val="000F1AE8"/>
    <w:rsid w:val="000F1EEC"/>
    <w:rsid w:val="000F1EFD"/>
    <w:rsid w:val="000F2106"/>
    <w:rsid w:val="000F43B9"/>
    <w:rsid w:val="000F46F4"/>
    <w:rsid w:val="000F4E76"/>
    <w:rsid w:val="000F4E7F"/>
    <w:rsid w:val="000F6186"/>
    <w:rsid w:val="000F6199"/>
    <w:rsid w:val="000F7333"/>
    <w:rsid w:val="000F7565"/>
    <w:rsid w:val="000F782D"/>
    <w:rsid w:val="000F78D2"/>
    <w:rsid w:val="000F7B96"/>
    <w:rsid w:val="00100DEF"/>
    <w:rsid w:val="001010EF"/>
    <w:rsid w:val="00101C8E"/>
    <w:rsid w:val="0010229B"/>
    <w:rsid w:val="00103538"/>
    <w:rsid w:val="00103EFE"/>
    <w:rsid w:val="00104196"/>
    <w:rsid w:val="0010419C"/>
    <w:rsid w:val="001049F5"/>
    <w:rsid w:val="00104D0E"/>
    <w:rsid w:val="0010523C"/>
    <w:rsid w:val="00105523"/>
    <w:rsid w:val="00106ED7"/>
    <w:rsid w:val="00107071"/>
    <w:rsid w:val="00110171"/>
    <w:rsid w:val="00110529"/>
    <w:rsid w:val="00110879"/>
    <w:rsid w:val="00112302"/>
    <w:rsid w:val="0011277E"/>
    <w:rsid w:val="00112E3E"/>
    <w:rsid w:val="00113731"/>
    <w:rsid w:val="00113FAF"/>
    <w:rsid w:val="0011494E"/>
    <w:rsid w:val="00117B83"/>
    <w:rsid w:val="00117FC5"/>
    <w:rsid w:val="00120BE8"/>
    <w:rsid w:val="001218EA"/>
    <w:rsid w:val="00121BA7"/>
    <w:rsid w:val="00122904"/>
    <w:rsid w:val="00123496"/>
    <w:rsid w:val="001241D5"/>
    <w:rsid w:val="00124E6C"/>
    <w:rsid w:val="00124F03"/>
    <w:rsid w:val="00125526"/>
    <w:rsid w:val="00125A28"/>
    <w:rsid w:val="00125DAA"/>
    <w:rsid w:val="0013097F"/>
    <w:rsid w:val="00130AA3"/>
    <w:rsid w:val="00130E18"/>
    <w:rsid w:val="00131A50"/>
    <w:rsid w:val="00132581"/>
    <w:rsid w:val="00132720"/>
    <w:rsid w:val="00132900"/>
    <w:rsid w:val="00132ABD"/>
    <w:rsid w:val="00133403"/>
    <w:rsid w:val="00133A6E"/>
    <w:rsid w:val="001347E4"/>
    <w:rsid w:val="001348A5"/>
    <w:rsid w:val="001355CB"/>
    <w:rsid w:val="00135780"/>
    <w:rsid w:val="001361A8"/>
    <w:rsid w:val="00136307"/>
    <w:rsid w:val="001363C4"/>
    <w:rsid w:val="0013671C"/>
    <w:rsid w:val="00136FA8"/>
    <w:rsid w:val="0014018D"/>
    <w:rsid w:val="001404E2"/>
    <w:rsid w:val="00140E7D"/>
    <w:rsid w:val="001417C1"/>
    <w:rsid w:val="00141E48"/>
    <w:rsid w:val="00142923"/>
    <w:rsid w:val="00142D7F"/>
    <w:rsid w:val="00143300"/>
    <w:rsid w:val="0014343D"/>
    <w:rsid w:val="0014591A"/>
    <w:rsid w:val="00147542"/>
    <w:rsid w:val="00150120"/>
    <w:rsid w:val="001504AA"/>
    <w:rsid w:val="00150BA3"/>
    <w:rsid w:val="00150ED9"/>
    <w:rsid w:val="00151424"/>
    <w:rsid w:val="00151689"/>
    <w:rsid w:val="0015190C"/>
    <w:rsid w:val="00151A14"/>
    <w:rsid w:val="0015218A"/>
    <w:rsid w:val="001522BF"/>
    <w:rsid w:val="001530D8"/>
    <w:rsid w:val="001538F2"/>
    <w:rsid w:val="0015441C"/>
    <w:rsid w:val="00154CBB"/>
    <w:rsid w:val="00155F69"/>
    <w:rsid w:val="0015646F"/>
    <w:rsid w:val="00156579"/>
    <w:rsid w:val="00156EC1"/>
    <w:rsid w:val="0016078A"/>
    <w:rsid w:val="001607FB"/>
    <w:rsid w:val="00160EA3"/>
    <w:rsid w:val="001612E1"/>
    <w:rsid w:val="001622E6"/>
    <w:rsid w:val="001623E8"/>
    <w:rsid w:val="00162DD8"/>
    <w:rsid w:val="001631A0"/>
    <w:rsid w:val="00163A53"/>
    <w:rsid w:val="00163BF2"/>
    <w:rsid w:val="00163EC2"/>
    <w:rsid w:val="001650FE"/>
    <w:rsid w:val="001659D6"/>
    <w:rsid w:val="00165A13"/>
    <w:rsid w:val="00165E3E"/>
    <w:rsid w:val="001663F3"/>
    <w:rsid w:val="00166659"/>
    <w:rsid w:val="00167210"/>
    <w:rsid w:val="00167C92"/>
    <w:rsid w:val="001702F7"/>
    <w:rsid w:val="00170BA5"/>
    <w:rsid w:val="00170D13"/>
    <w:rsid w:val="00171EE9"/>
    <w:rsid w:val="00172053"/>
    <w:rsid w:val="001725D6"/>
    <w:rsid w:val="0017263B"/>
    <w:rsid w:val="00173748"/>
    <w:rsid w:val="00174F42"/>
    <w:rsid w:val="00175977"/>
    <w:rsid w:val="0017626A"/>
    <w:rsid w:val="00176D05"/>
    <w:rsid w:val="00176F8B"/>
    <w:rsid w:val="00180EB6"/>
    <w:rsid w:val="001813B0"/>
    <w:rsid w:val="001829F9"/>
    <w:rsid w:val="00184663"/>
    <w:rsid w:val="00184970"/>
    <w:rsid w:val="0018522E"/>
    <w:rsid w:val="00185844"/>
    <w:rsid w:val="00185A4E"/>
    <w:rsid w:val="00185BD7"/>
    <w:rsid w:val="0018607D"/>
    <w:rsid w:val="00187170"/>
    <w:rsid w:val="00191956"/>
    <w:rsid w:val="001923FD"/>
    <w:rsid w:val="00193750"/>
    <w:rsid w:val="00193D83"/>
    <w:rsid w:val="00195095"/>
    <w:rsid w:val="00196639"/>
    <w:rsid w:val="00197DB5"/>
    <w:rsid w:val="001A0A2D"/>
    <w:rsid w:val="001A119E"/>
    <w:rsid w:val="001A1225"/>
    <w:rsid w:val="001A141D"/>
    <w:rsid w:val="001A1536"/>
    <w:rsid w:val="001A2025"/>
    <w:rsid w:val="001A2A6A"/>
    <w:rsid w:val="001A2FF9"/>
    <w:rsid w:val="001A31FB"/>
    <w:rsid w:val="001A69B1"/>
    <w:rsid w:val="001A76E7"/>
    <w:rsid w:val="001B0E3B"/>
    <w:rsid w:val="001B0F8F"/>
    <w:rsid w:val="001B156C"/>
    <w:rsid w:val="001B277D"/>
    <w:rsid w:val="001B41CE"/>
    <w:rsid w:val="001B4573"/>
    <w:rsid w:val="001B4685"/>
    <w:rsid w:val="001B4C15"/>
    <w:rsid w:val="001B5ADA"/>
    <w:rsid w:val="001B6C68"/>
    <w:rsid w:val="001B6F5C"/>
    <w:rsid w:val="001B778F"/>
    <w:rsid w:val="001B79B2"/>
    <w:rsid w:val="001C127E"/>
    <w:rsid w:val="001C1420"/>
    <w:rsid w:val="001C1CAA"/>
    <w:rsid w:val="001C22A8"/>
    <w:rsid w:val="001C2753"/>
    <w:rsid w:val="001C4275"/>
    <w:rsid w:val="001C4DF3"/>
    <w:rsid w:val="001C4F71"/>
    <w:rsid w:val="001C53C4"/>
    <w:rsid w:val="001C5F41"/>
    <w:rsid w:val="001D00E8"/>
    <w:rsid w:val="001D041A"/>
    <w:rsid w:val="001D068B"/>
    <w:rsid w:val="001D0705"/>
    <w:rsid w:val="001D0969"/>
    <w:rsid w:val="001D0D60"/>
    <w:rsid w:val="001D1182"/>
    <w:rsid w:val="001D2389"/>
    <w:rsid w:val="001D3BEB"/>
    <w:rsid w:val="001D3ED5"/>
    <w:rsid w:val="001D55C7"/>
    <w:rsid w:val="001D5FC8"/>
    <w:rsid w:val="001D6E44"/>
    <w:rsid w:val="001D7144"/>
    <w:rsid w:val="001D71E9"/>
    <w:rsid w:val="001D7259"/>
    <w:rsid w:val="001D7DB2"/>
    <w:rsid w:val="001E000C"/>
    <w:rsid w:val="001E0ECE"/>
    <w:rsid w:val="001E1A77"/>
    <w:rsid w:val="001E1DE0"/>
    <w:rsid w:val="001E2A8B"/>
    <w:rsid w:val="001E31F5"/>
    <w:rsid w:val="001E4139"/>
    <w:rsid w:val="001E4FF8"/>
    <w:rsid w:val="001E53EB"/>
    <w:rsid w:val="001E58DF"/>
    <w:rsid w:val="001E5D5C"/>
    <w:rsid w:val="001E646A"/>
    <w:rsid w:val="001E71CB"/>
    <w:rsid w:val="001E7272"/>
    <w:rsid w:val="001F1329"/>
    <w:rsid w:val="001F1F7D"/>
    <w:rsid w:val="001F28BB"/>
    <w:rsid w:val="001F31EA"/>
    <w:rsid w:val="001F384F"/>
    <w:rsid w:val="001F3D5D"/>
    <w:rsid w:val="001F41F4"/>
    <w:rsid w:val="001F4441"/>
    <w:rsid w:val="001F47D1"/>
    <w:rsid w:val="001F54CE"/>
    <w:rsid w:val="001F7499"/>
    <w:rsid w:val="002000EF"/>
    <w:rsid w:val="00201185"/>
    <w:rsid w:val="002016F0"/>
    <w:rsid w:val="00201C98"/>
    <w:rsid w:val="00202EA4"/>
    <w:rsid w:val="00203068"/>
    <w:rsid w:val="0020309C"/>
    <w:rsid w:val="00203A2E"/>
    <w:rsid w:val="0020464B"/>
    <w:rsid w:val="00204B02"/>
    <w:rsid w:val="00204EE8"/>
    <w:rsid w:val="002058C4"/>
    <w:rsid w:val="00205E90"/>
    <w:rsid w:val="00207908"/>
    <w:rsid w:val="00207A27"/>
    <w:rsid w:val="00211255"/>
    <w:rsid w:val="002125EA"/>
    <w:rsid w:val="002129CC"/>
    <w:rsid w:val="002137AD"/>
    <w:rsid w:val="00214203"/>
    <w:rsid w:val="00214697"/>
    <w:rsid w:val="0021538B"/>
    <w:rsid w:val="00215A32"/>
    <w:rsid w:val="00216292"/>
    <w:rsid w:val="002164FE"/>
    <w:rsid w:val="002201BE"/>
    <w:rsid w:val="0022028A"/>
    <w:rsid w:val="002206EF"/>
    <w:rsid w:val="00220A1B"/>
    <w:rsid w:val="00221B5C"/>
    <w:rsid w:val="00221B7B"/>
    <w:rsid w:val="00222183"/>
    <w:rsid w:val="0022238A"/>
    <w:rsid w:val="002223EE"/>
    <w:rsid w:val="002224E9"/>
    <w:rsid w:val="002228F4"/>
    <w:rsid w:val="002241FE"/>
    <w:rsid w:val="002243D0"/>
    <w:rsid w:val="002247A3"/>
    <w:rsid w:val="00225154"/>
    <w:rsid w:val="00225783"/>
    <w:rsid w:val="00225EA3"/>
    <w:rsid w:val="002266D3"/>
    <w:rsid w:val="002279DB"/>
    <w:rsid w:val="002310D5"/>
    <w:rsid w:val="00231591"/>
    <w:rsid w:val="0023213B"/>
    <w:rsid w:val="00232CC6"/>
    <w:rsid w:val="002331E4"/>
    <w:rsid w:val="00233C9D"/>
    <w:rsid w:val="002354D7"/>
    <w:rsid w:val="00236E35"/>
    <w:rsid w:val="002377B0"/>
    <w:rsid w:val="00237BFE"/>
    <w:rsid w:val="00240197"/>
    <w:rsid w:val="00240C3D"/>
    <w:rsid w:val="002424E5"/>
    <w:rsid w:val="002429EF"/>
    <w:rsid w:val="00242EBC"/>
    <w:rsid w:val="00243220"/>
    <w:rsid w:val="002432AF"/>
    <w:rsid w:val="00243718"/>
    <w:rsid w:val="0024372F"/>
    <w:rsid w:val="002442FE"/>
    <w:rsid w:val="002444AE"/>
    <w:rsid w:val="00245773"/>
    <w:rsid w:val="00246577"/>
    <w:rsid w:val="00246617"/>
    <w:rsid w:val="00246AB3"/>
    <w:rsid w:val="00247972"/>
    <w:rsid w:val="00247A15"/>
    <w:rsid w:val="00247DF0"/>
    <w:rsid w:val="00250170"/>
    <w:rsid w:val="0025181B"/>
    <w:rsid w:val="00252028"/>
    <w:rsid w:val="002537F5"/>
    <w:rsid w:val="0025380B"/>
    <w:rsid w:val="002538C0"/>
    <w:rsid w:val="00253C4B"/>
    <w:rsid w:val="0025491D"/>
    <w:rsid w:val="00254FF4"/>
    <w:rsid w:val="00255717"/>
    <w:rsid w:val="00255838"/>
    <w:rsid w:val="00255D74"/>
    <w:rsid w:val="00257C16"/>
    <w:rsid w:val="00257F8A"/>
    <w:rsid w:val="00261588"/>
    <w:rsid w:val="00261597"/>
    <w:rsid w:val="002615CA"/>
    <w:rsid w:val="00261710"/>
    <w:rsid w:val="00261EE8"/>
    <w:rsid w:val="00262947"/>
    <w:rsid w:val="00262950"/>
    <w:rsid w:val="00262F79"/>
    <w:rsid w:val="00263355"/>
    <w:rsid w:val="00263CFB"/>
    <w:rsid w:val="00264C6B"/>
    <w:rsid w:val="00264F40"/>
    <w:rsid w:val="00265339"/>
    <w:rsid w:val="002667F2"/>
    <w:rsid w:val="0026720A"/>
    <w:rsid w:val="0026773A"/>
    <w:rsid w:val="00267B49"/>
    <w:rsid w:val="002708C7"/>
    <w:rsid w:val="00270C18"/>
    <w:rsid w:val="002714A1"/>
    <w:rsid w:val="002724A1"/>
    <w:rsid w:val="00272BA5"/>
    <w:rsid w:val="00273507"/>
    <w:rsid w:val="00274B16"/>
    <w:rsid w:val="00275241"/>
    <w:rsid w:val="00277270"/>
    <w:rsid w:val="002775EA"/>
    <w:rsid w:val="00277BE9"/>
    <w:rsid w:val="002801D5"/>
    <w:rsid w:val="00281283"/>
    <w:rsid w:val="002853A3"/>
    <w:rsid w:val="00285621"/>
    <w:rsid w:val="002860A4"/>
    <w:rsid w:val="0028615A"/>
    <w:rsid w:val="00287EA4"/>
    <w:rsid w:val="00290A8F"/>
    <w:rsid w:val="00290AF1"/>
    <w:rsid w:val="0029112B"/>
    <w:rsid w:val="00291352"/>
    <w:rsid w:val="00291434"/>
    <w:rsid w:val="00292016"/>
    <w:rsid w:val="00292264"/>
    <w:rsid w:val="002926A8"/>
    <w:rsid w:val="002930CE"/>
    <w:rsid w:val="0029325D"/>
    <w:rsid w:val="00293C1A"/>
    <w:rsid w:val="00293C3A"/>
    <w:rsid w:val="00294DE8"/>
    <w:rsid w:val="00295051"/>
    <w:rsid w:val="00295920"/>
    <w:rsid w:val="002965EA"/>
    <w:rsid w:val="00297100"/>
    <w:rsid w:val="002A0595"/>
    <w:rsid w:val="002A1CDB"/>
    <w:rsid w:val="002A2A69"/>
    <w:rsid w:val="002A2FAC"/>
    <w:rsid w:val="002A300C"/>
    <w:rsid w:val="002A3939"/>
    <w:rsid w:val="002A505C"/>
    <w:rsid w:val="002A5592"/>
    <w:rsid w:val="002A5E9E"/>
    <w:rsid w:val="002A6473"/>
    <w:rsid w:val="002A67F5"/>
    <w:rsid w:val="002A6CD4"/>
    <w:rsid w:val="002A7514"/>
    <w:rsid w:val="002A7E40"/>
    <w:rsid w:val="002B0BF5"/>
    <w:rsid w:val="002B2F81"/>
    <w:rsid w:val="002B33E9"/>
    <w:rsid w:val="002B355E"/>
    <w:rsid w:val="002B3E67"/>
    <w:rsid w:val="002B4CA3"/>
    <w:rsid w:val="002B5749"/>
    <w:rsid w:val="002B7BA9"/>
    <w:rsid w:val="002C0421"/>
    <w:rsid w:val="002C0B78"/>
    <w:rsid w:val="002C102E"/>
    <w:rsid w:val="002C1075"/>
    <w:rsid w:val="002C1DFD"/>
    <w:rsid w:val="002C2F13"/>
    <w:rsid w:val="002C4025"/>
    <w:rsid w:val="002C47EF"/>
    <w:rsid w:val="002C4BB5"/>
    <w:rsid w:val="002C5158"/>
    <w:rsid w:val="002C58BF"/>
    <w:rsid w:val="002C6B21"/>
    <w:rsid w:val="002C705C"/>
    <w:rsid w:val="002C7EF4"/>
    <w:rsid w:val="002D0530"/>
    <w:rsid w:val="002D05A6"/>
    <w:rsid w:val="002D0AA0"/>
    <w:rsid w:val="002D0AD3"/>
    <w:rsid w:val="002D0AF6"/>
    <w:rsid w:val="002D0CEE"/>
    <w:rsid w:val="002D0E96"/>
    <w:rsid w:val="002D1975"/>
    <w:rsid w:val="002D2261"/>
    <w:rsid w:val="002D230A"/>
    <w:rsid w:val="002D2B08"/>
    <w:rsid w:val="002D357A"/>
    <w:rsid w:val="002D5F32"/>
    <w:rsid w:val="002D6230"/>
    <w:rsid w:val="002D6DCF"/>
    <w:rsid w:val="002D6E3A"/>
    <w:rsid w:val="002D7103"/>
    <w:rsid w:val="002D7508"/>
    <w:rsid w:val="002E0D1B"/>
    <w:rsid w:val="002E1772"/>
    <w:rsid w:val="002E2217"/>
    <w:rsid w:val="002E28EB"/>
    <w:rsid w:val="002E290F"/>
    <w:rsid w:val="002E29A7"/>
    <w:rsid w:val="002E32CD"/>
    <w:rsid w:val="002E3A3B"/>
    <w:rsid w:val="002E3E5F"/>
    <w:rsid w:val="002E45B9"/>
    <w:rsid w:val="002E489F"/>
    <w:rsid w:val="002E547F"/>
    <w:rsid w:val="002E580F"/>
    <w:rsid w:val="002E5B18"/>
    <w:rsid w:val="002E5CF5"/>
    <w:rsid w:val="002E7BF2"/>
    <w:rsid w:val="002F049D"/>
    <w:rsid w:val="002F0A42"/>
    <w:rsid w:val="002F1127"/>
    <w:rsid w:val="002F1289"/>
    <w:rsid w:val="002F1314"/>
    <w:rsid w:val="002F17BA"/>
    <w:rsid w:val="002F185A"/>
    <w:rsid w:val="002F1F4A"/>
    <w:rsid w:val="002F232B"/>
    <w:rsid w:val="002F3DB9"/>
    <w:rsid w:val="002F427A"/>
    <w:rsid w:val="002F48D4"/>
    <w:rsid w:val="002F51BD"/>
    <w:rsid w:val="002F54C9"/>
    <w:rsid w:val="002F566B"/>
    <w:rsid w:val="002F7255"/>
    <w:rsid w:val="002F7782"/>
    <w:rsid w:val="002F77D9"/>
    <w:rsid w:val="00300574"/>
    <w:rsid w:val="0030181B"/>
    <w:rsid w:val="003024D4"/>
    <w:rsid w:val="003029DC"/>
    <w:rsid w:val="00302B54"/>
    <w:rsid w:val="00303CDE"/>
    <w:rsid w:val="003045F4"/>
    <w:rsid w:val="00304AF2"/>
    <w:rsid w:val="00304E7D"/>
    <w:rsid w:val="00304EFD"/>
    <w:rsid w:val="0030574F"/>
    <w:rsid w:val="00306202"/>
    <w:rsid w:val="00307774"/>
    <w:rsid w:val="00307D62"/>
    <w:rsid w:val="00307FCA"/>
    <w:rsid w:val="00310554"/>
    <w:rsid w:val="0031235D"/>
    <w:rsid w:val="00312853"/>
    <w:rsid w:val="0031374E"/>
    <w:rsid w:val="00314D29"/>
    <w:rsid w:val="00315BE0"/>
    <w:rsid w:val="00315BF4"/>
    <w:rsid w:val="00315D82"/>
    <w:rsid w:val="00315DAC"/>
    <w:rsid w:val="00316B0F"/>
    <w:rsid w:val="0031716E"/>
    <w:rsid w:val="003172EE"/>
    <w:rsid w:val="003175FB"/>
    <w:rsid w:val="00321492"/>
    <w:rsid w:val="00322798"/>
    <w:rsid w:val="00322F2D"/>
    <w:rsid w:val="003237A4"/>
    <w:rsid w:val="00323BE3"/>
    <w:rsid w:val="00323C0D"/>
    <w:rsid w:val="00324967"/>
    <w:rsid w:val="00325BAE"/>
    <w:rsid w:val="00325F46"/>
    <w:rsid w:val="00326388"/>
    <w:rsid w:val="0032668B"/>
    <w:rsid w:val="00326ADC"/>
    <w:rsid w:val="00327233"/>
    <w:rsid w:val="003302F4"/>
    <w:rsid w:val="003307C3"/>
    <w:rsid w:val="00331502"/>
    <w:rsid w:val="00331DBD"/>
    <w:rsid w:val="00331E0D"/>
    <w:rsid w:val="00331FEB"/>
    <w:rsid w:val="003332E2"/>
    <w:rsid w:val="003342DB"/>
    <w:rsid w:val="00334352"/>
    <w:rsid w:val="00334BC5"/>
    <w:rsid w:val="00334CE2"/>
    <w:rsid w:val="00334DD6"/>
    <w:rsid w:val="00335DB9"/>
    <w:rsid w:val="00336528"/>
    <w:rsid w:val="00336B57"/>
    <w:rsid w:val="00337597"/>
    <w:rsid w:val="00337815"/>
    <w:rsid w:val="00337969"/>
    <w:rsid w:val="003379FF"/>
    <w:rsid w:val="00337F65"/>
    <w:rsid w:val="00337FF4"/>
    <w:rsid w:val="00340A83"/>
    <w:rsid w:val="003413F0"/>
    <w:rsid w:val="003417F7"/>
    <w:rsid w:val="00341CAB"/>
    <w:rsid w:val="00342EB6"/>
    <w:rsid w:val="00343281"/>
    <w:rsid w:val="003434C4"/>
    <w:rsid w:val="003439F9"/>
    <w:rsid w:val="00343A07"/>
    <w:rsid w:val="00343CB8"/>
    <w:rsid w:val="00344655"/>
    <w:rsid w:val="00345447"/>
    <w:rsid w:val="00345504"/>
    <w:rsid w:val="00345939"/>
    <w:rsid w:val="003474A9"/>
    <w:rsid w:val="003478A2"/>
    <w:rsid w:val="00351127"/>
    <w:rsid w:val="00351FCF"/>
    <w:rsid w:val="00352A3F"/>
    <w:rsid w:val="00352B8D"/>
    <w:rsid w:val="00352BCC"/>
    <w:rsid w:val="00352E72"/>
    <w:rsid w:val="00354B90"/>
    <w:rsid w:val="00354D69"/>
    <w:rsid w:val="00354D9C"/>
    <w:rsid w:val="003555D4"/>
    <w:rsid w:val="003574D0"/>
    <w:rsid w:val="00357544"/>
    <w:rsid w:val="0035773C"/>
    <w:rsid w:val="00360A39"/>
    <w:rsid w:val="00360B5D"/>
    <w:rsid w:val="00360CA9"/>
    <w:rsid w:val="0036143D"/>
    <w:rsid w:val="00361788"/>
    <w:rsid w:val="00361BB1"/>
    <w:rsid w:val="00362075"/>
    <w:rsid w:val="0036217E"/>
    <w:rsid w:val="0036262D"/>
    <w:rsid w:val="00363673"/>
    <w:rsid w:val="0036480C"/>
    <w:rsid w:val="0036488C"/>
    <w:rsid w:val="00366B5B"/>
    <w:rsid w:val="00366E5C"/>
    <w:rsid w:val="00367107"/>
    <w:rsid w:val="00367150"/>
    <w:rsid w:val="003671A1"/>
    <w:rsid w:val="00367D4D"/>
    <w:rsid w:val="00367FCB"/>
    <w:rsid w:val="00370C93"/>
    <w:rsid w:val="00371E13"/>
    <w:rsid w:val="00372575"/>
    <w:rsid w:val="003729B9"/>
    <w:rsid w:val="00372C2A"/>
    <w:rsid w:val="003731CF"/>
    <w:rsid w:val="00374A7F"/>
    <w:rsid w:val="00374EEC"/>
    <w:rsid w:val="00375349"/>
    <w:rsid w:val="0037670A"/>
    <w:rsid w:val="00377FA2"/>
    <w:rsid w:val="00380856"/>
    <w:rsid w:val="00382284"/>
    <w:rsid w:val="003843DE"/>
    <w:rsid w:val="00385833"/>
    <w:rsid w:val="00385CC2"/>
    <w:rsid w:val="00386AEA"/>
    <w:rsid w:val="00387224"/>
    <w:rsid w:val="003878DD"/>
    <w:rsid w:val="00387C75"/>
    <w:rsid w:val="00391FAB"/>
    <w:rsid w:val="00392029"/>
    <w:rsid w:val="00392626"/>
    <w:rsid w:val="0039281A"/>
    <w:rsid w:val="00392AD4"/>
    <w:rsid w:val="0039429D"/>
    <w:rsid w:val="00394630"/>
    <w:rsid w:val="00396640"/>
    <w:rsid w:val="003966D6"/>
    <w:rsid w:val="00397796"/>
    <w:rsid w:val="003A002E"/>
    <w:rsid w:val="003A132C"/>
    <w:rsid w:val="003A2045"/>
    <w:rsid w:val="003A2543"/>
    <w:rsid w:val="003A2DE0"/>
    <w:rsid w:val="003A4154"/>
    <w:rsid w:val="003A4574"/>
    <w:rsid w:val="003A4ECF"/>
    <w:rsid w:val="003A53CD"/>
    <w:rsid w:val="003A6173"/>
    <w:rsid w:val="003A772D"/>
    <w:rsid w:val="003B0C8C"/>
    <w:rsid w:val="003B141D"/>
    <w:rsid w:val="003B246A"/>
    <w:rsid w:val="003B2A50"/>
    <w:rsid w:val="003B2C7F"/>
    <w:rsid w:val="003B4089"/>
    <w:rsid w:val="003B4E59"/>
    <w:rsid w:val="003B5366"/>
    <w:rsid w:val="003B5CE7"/>
    <w:rsid w:val="003B5EB8"/>
    <w:rsid w:val="003B61E4"/>
    <w:rsid w:val="003B6DD3"/>
    <w:rsid w:val="003B742E"/>
    <w:rsid w:val="003B7452"/>
    <w:rsid w:val="003B79DF"/>
    <w:rsid w:val="003C03E9"/>
    <w:rsid w:val="003C09FE"/>
    <w:rsid w:val="003C1507"/>
    <w:rsid w:val="003C2087"/>
    <w:rsid w:val="003C20A5"/>
    <w:rsid w:val="003C30F7"/>
    <w:rsid w:val="003C39CC"/>
    <w:rsid w:val="003C40FB"/>
    <w:rsid w:val="003C42E6"/>
    <w:rsid w:val="003C5228"/>
    <w:rsid w:val="003C534F"/>
    <w:rsid w:val="003C5E02"/>
    <w:rsid w:val="003C5F56"/>
    <w:rsid w:val="003C6851"/>
    <w:rsid w:val="003C6A55"/>
    <w:rsid w:val="003C6B8A"/>
    <w:rsid w:val="003C71F3"/>
    <w:rsid w:val="003C7DEA"/>
    <w:rsid w:val="003C7FD5"/>
    <w:rsid w:val="003D0BB2"/>
    <w:rsid w:val="003D10B7"/>
    <w:rsid w:val="003D1536"/>
    <w:rsid w:val="003D29E9"/>
    <w:rsid w:val="003D2BBD"/>
    <w:rsid w:val="003D3650"/>
    <w:rsid w:val="003D3BF5"/>
    <w:rsid w:val="003D3F93"/>
    <w:rsid w:val="003D4C03"/>
    <w:rsid w:val="003D53D8"/>
    <w:rsid w:val="003D55AE"/>
    <w:rsid w:val="003D5FC7"/>
    <w:rsid w:val="003D6826"/>
    <w:rsid w:val="003D6B4A"/>
    <w:rsid w:val="003D6F79"/>
    <w:rsid w:val="003D746D"/>
    <w:rsid w:val="003D7A58"/>
    <w:rsid w:val="003E0AD8"/>
    <w:rsid w:val="003E0ADC"/>
    <w:rsid w:val="003E353E"/>
    <w:rsid w:val="003E36C7"/>
    <w:rsid w:val="003E5461"/>
    <w:rsid w:val="003E584A"/>
    <w:rsid w:val="003E6423"/>
    <w:rsid w:val="003E6B51"/>
    <w:rsid w:val="003E703C"/>
    <w:rsid w:val="003E71A6"/>
    <w:rsid w:val="003F01B4"/>
    <w:rsid w:val="003F0590"/>
    <w:rsid w:val="003F071F"/>
    <w:rsid w:val="003F1FD9"/>
    <w:rsid w:val="003F2118"/>
    <w:rsid w:val="003F3839"/>
    <w:rsid w:val="003F39DF"/>
    <w:rsid w:val="003F402A"/>
    <w:rsid w:val="003F47B3"/>
    <w:rsid w:val="003F47FB"/>
    <w:rsid w:val="003F62B4"/>
    <w:rsid w:val="003F6D5F"/>
    <w:rsid w:val="003F7527"/>
    <w:rsid w:val="003F7883"/>
    <w:rsid w:val="004000BA"/>
    <w:rsid w:val="00400588"/>
    <w:rsid w:val="00401A20"/>
    <w:rsid w:val="0040311B"/>
    <w:rsid w:val="00403A9B"/>
    <w:rsid w:val="00405BB4"/>
    <w:rsid w:val="004063BD"/>
    <w:rsid w:val="004063D6"/>
    <w:rsid w:val="00406A6D"/>
    <w:rsid w:val="00407210"/>
    <w:rsid w:val="004078FD"/>
    <w:rsid w:val="00410097"/>
    <w:rsid w:val="004107B3"/>
    <w:rsid w:val="00410844"/>
    <w:rsid w:val="00410F56"/>
    <w:rsid w:val="00410FE7"/>
    <w:rsid w:val="004116B5"/>
    <w:rsid w:val="00411C50"/>
    <w:rsid w:val="0041238A"/>
    <w:rsid w:val="00413304"/>
    <w:rsid w:val="0041337C"/>
    <w:rsid w:val="004168DB"/>
    <w:rsid w:val="00417139"/>
    <w:rsid w:val="00417562"/>
    <w:rsid w:val="0042021F"/>
    <w:rsid w:val="00420481"/>
    <w:rsid w:val="00420528"/>
    <w:rsid w:val="00421091"/>
    <w:rsid w:val="00421D06"/>
    <w:rsid w:val="004226B8"/>
    <w:rsid w:val="004227C4"/>
    <w:rsid w:val="00422AB6"/>
    <w:rsid w:val="00423679"/>
    <w:rsid w:val="0042381A"/>
    <w:rsid w:val="00423FC4"/>
    <w:rsid w:val="00425C83"/>
    <w:rsid w:val="00425D35"/>
    <w:rsid w:val="004262AB"/>
    <w:rsid w:val="00426C64"/>
    <w:rsid w:val="00426D75"/>
    <w:rsid w:val="00427E49"/>
    <w:rsid w:val="00430152"/>
    <w:rsid w:val="00430A44"/>
    <w:rsid w:val="00431069"/>
    <w:rsid w:val="004320B2"/>
    <w:rsid w:val="00432133"/>
    <w:rsid w:val="00432620"/>
    <w:rsid w:val="004329F5"/>
    <w:rsid w:val="00432B38"/>
    <w:rsid w:val="00433283"/>
    <w:rsid w:val="004333A4"/>
    <w:rsid w:val="004336A7"/>
    <w:rsid w:val="00433909"/>
    <w:rsid w:val="00433EE7"/>
    <w:rsid w:val="004349B8"/>
    <w:rsid w:val="00434B8E"/>
    <w:rsid w:val="00434DC0"/>
    <w:rsid w:val="004372FD"/>
    <w:rsid w:val="00440428"/>
    <w:rsid w:val="00440F4D"/>
    <w:rsid w:val="00441C09"/>
    <w:rsid w:val="0044204C"/>
    <w:rsid w:val="00442489"/>
    <w:rsid w:val="004434D9"/>
    <w:rsid w:val="00443D53"/>
    <w:rsid w:val="00443F07"/>
    <w:rsid w:val="004443A2"/>
    <w:rsid w:val="004459BE"/>
    <w:rsid w:val="00445B43"/>
    <w:rsid w:val="004477A1"/>
    <w:rsid w:val="00447803"/>
    <w:rsid w:val="00447AF6"/>
    <w:rsid w:val="00447BC1"/>
    <w:rsid w:val="00447CE3"/>
    <w:rsid w:val="00447F23"/>
    <w:rsid w:val="00450246"/>
    <w:rsid w:val="004504C7"/>
    <w:rsid w:val="00450AA0"/>
    <w:rsid w:val="00450E87"/>
    <w:rsid w:val="0045173D"/>
    <w:rsid w:val="004529DB"/>
    <w:rsid w:val="004536C2"/>
    <w:rsid w:val="00453AEA"/>
    <w:rsid w:val="004544E9"/>
    <w:rsid w:val="00454582"/>
    <w:rsid w:val="0045611C"/>
    <w:rsid w:val="00456571"/>
    <w:rsid w:val="00457B1D"/>
    <w:rsid w:val="00460AD3"/>
    <w:rsid w:val="00460B5D"/>
    <w:rsid w:val="00461ABC"/>
    <w:rsid w:val="00461B16"/>
    <w:rsid w:val="00461B7A"/>
    <w:rsid w:val="00461DE2"/>
    <w:rsid w:val="00461EBD"/>
    <w:rsid w:val="00462C92"/>
    <w:rsid w:val="00462D0F"/>
    <w:rsid w:val="00463877"/>
    <w:rsid w:val="00464085"/>
    <w:rsid w:val="004644E3"/>
    <w:rsid w:val="00466468"/>
    <w:rsid w:val="00466AB7"/>
    <w:rsid w:val="00470C0C"/>
    <w:rsid w:val="004710C0"/>
    <w:rsid w:val="00471A8B"/>
    <w:rsid w:val="0047223B"/>
    <w:rsid w:val="004722E0"/>
    <w:rsid w:val="00474349"/>
    <w:rsid w:val="00474E55"/>
    <w:rsid w:val="004757C8"/>
    <w:rsid w:val="00476248"/>
    <w:rsid w:val="004764A8"/>
    <w:rsid w:val="004769A8"/>
    <w:rsid w:val="00476ECD"/>
    <w:rsid w:val="00476F21"/>
    <w:rsid w:val="00477645"/>
    <w:rsid w:val="00477A5A"/>
    <w:rsid w:val="00477D43"/>
    <w:rsid w:val="00477EE0"/>
    <w:rsid w:val="0048053E"/>
    <w:rsid w:val="00480560"/>
    <w:rsid w:val="00480A04"/>
    <w:rsid w:val="00480A2C"/>
    <w:rsid w:val="00482FCD"/>
    <w:rsid w:val="00483606"/>
    <w:rsid w:val="0048365D"/>
    <w:rsid w:val="00483776"/>
    <w:rsid w:val="00485020"/>
    <w:rsid w:val="004855D8"/>
    <w:rsid w:val="004862BC"/>
    <w:rsid w:val="004863D2"/>
    <w:rsid w:val="0048668F"/>
    <w:rsid w:val="00486C70"/>
    <w:rsid w:val="00486C8E"/>
    <w:rsid w:val="004872B7"/>
    <w:rsid w:val="0048732D"/>
    <w:rsid w:val="004878FB"/>
    <w:rsid w:val="00490676"/>
    <w:rsid w:val="00490A8E"/>
    <w:rsid w:val="004910F2"/>
    <w:rsid w:val="00491BAA"/>
    <w:rsid w:val="004925FA"/>
    <w:rsid w:val="004928AB"/>
    <w:rsid w:val="00493ADE"/>
    <w:rsid w:val="00494109"/>
    <w:rsid w:val="00494720"/>
    <w:rsid w:val="00494A20"/>
    <w:rsid w:val="00494B54"/>
    <w:rsid w:val="00495BAE"/>
    <w:rsid w:val="004960E3"/>
    <w:rsid w:val="00496361"/>
    <w:rsid w:val="00497923"/>
    <w:rsid w:val="004A05BF"/>
    <w:rsid w:val="004A17BF"/>
    <w:rsid w:val="004A1A7F"/>
    <w:rsid w:val="004A238F"/>
    <w:rsid w:val="004A2648"/>
    <w:rsid w:val="004A3662"/>
    <w:rsid w:val="004A382D"/>
    <w:rsid w:val="004A4693"/>
    <w:rsid w:val="004A4AF8"/>
    <w:rsid w:val="004A4D62"/>
    <w:rsid w:val="004A5FBF"/>
    <w:rsid w:val="004A6947"/>
    <w:rsid w:val="004A7125"/>
    <w:rsid w:val="004A7336"/>
    <w:rsid w:val="004A7E83"/>
    <w:rsid w:val="004B0A56"/>
    <w:rsid w:val="004B0F75"/>
    <w:rsid w:val="004B11A7"/>
    <w:rsid w:val="004B2B00"/>
    <w:rsid w:val="004B3191"/>
    <w:rsid w:val="004B42E7"/>
    <w:rsid w:val="004B5F60"/>
    <w:rsid w:val="004B60CA"/>
    <w:rsid w:val="004B6201"/>
    <w:rsid w:val="004B665B"/>
    <w:rsid w:val="004B6933"/>
    <w:rsid w:val="004B69D6"/>
    <w:rsid w:val="004B70E2"/>
    <w:rsid w:val="004B7A21"/>
    <w:rsid w:val="004C01FF"/>
    <w:rsid w:val="004C07FE"/>
    <w:rsid w:val="004C0E96"/>
    <w:rsid w:val="004C1718"/>
    <w:rsid w:val="004C23B4"/>
    <w:rsid w:val="004C3627"/>
    <w:rsid w:val="004C3C3E"/>
    <w:rsid w:val="004C3CBF"/>
    <w:rsid w:val="004C464C"/>
    <w:rsid w:val="004C4732"/>
    <w:rsid w:val="004C6AA9"/>
    <w:rsid w:val="004C6ACC"/>
    <w:rsid w:val="004C717F"/>
    <w:rsid w:val="004D0961"/>
    <w:rsid w:val="004D125E"/>
    <w:rsid w:val="004D1299"/>
    <w:rsid w:val="004D1853"/>
    <w:rsid w:val="004D1CED"/>
    <w:rsid w:val="004D357C"/>
    <w:rsid w:val="004D35AD"/>
    <w:rsid w:val="004D4459"/>
    <w:rsid w:val="004D6D7D"/>
    <w:rsid w:val="004D72CA"/>
    <w:rsid w:val="004D7A70"/>
    <w:rsid w:val="004E0EC5"/>
    <w:rsid w:val="004E120E"/>
    <w:rsid w:val="004E26C4"/>
    <w:rsid w:val="004E3294"/>
    <w:rsid w:val="004E461F"/>
    <w:rsid w:val="004E4FDD"/>
    <w:rsid w:val="004E5D46"/>
    <w:rsid w:val="004E6A7A"/>
    <w:rsid w:val="004E78B8"/>
    <w:rsid w:val="004E7967"/>
    <w:rsid w:val="004F0605"/>
    <w:rsid w:val="004F06EA"/>
    <w:rsid w:val="004F27CF"/>
    <w:rsid w:val="004F29D8"/>
    <w:rsid w:val="004F2C4C"/>
    <w:rsid w:val="004F3585"/>
    <w:rsid w:val="004F3B3A"/>
    <w:rsid w:val="004F3C7C"/>
    <w:rsid w:val="004F401D"/>
    <w:rsid w:val="004F4076"/>
    <w:rsid w:val="004F541A"/>
    <w:rsid w:val="004F570C"/>
    <w:rsid w:val="004F6D2D"/>
    <w:rsid w:val="004F710F"/>
    <w:rsid w:val="004F7385"/>
    <w:rsid w:val="004F7395"/>
    <w:rsid w:val="004F76E2"/>
    <w:rsid w:val="004F7912"/>
    <w:rsid w:val="00502829"/>
    <w:rsid w:val="00502CEF"/>
    <w:rsid w:val="00503953"/>
    <w:rsid w:val="00504EBF"/>
    <w:rsid w:val="0050524C"/>
    <w:rsid w:val="005052F0"/>
    <w:rsid w:val="00505C32"/>
    <w:rsid w:val="00505F81"/>
    <w:rsid w:val="00506748"/>
    <w:rsid w:val="00506E5C"/>
    <w:rsid w:val="00507EE2"/>
    <w:rsid w:val="0051137F"/>
    <w:rsid w:val="005115D6"/>
    <w:rsid w:val="0051169B"/>
    <w:rsid w:val="00512103"/>
    <w:rsid w:val="005121A0"/>
    <w:rsid w:val="00512597"/>
    <w:rsid w:val="00512A70"/>
    <w:rsid w:val="00512AC1"/>
    <w:rsid w:val="00512D48"/>
    <w:rsid w:val="00514EB8"/>
    <w:rsid w:val="00515877"/>
    <w:rsid w:val="0051673C"/>
    <w:rsid w:val="005169BB"/>
    <w:rsid w:val="0052014E"/>
    <w:rsid w:val="00521D1C"/>
    <w:rsid w:val="00521D36"/>
    <w:rsid w:val="005220E1"/>
    <w:rsid w:val="00522350"/>
    <w:rsid w:val="005225E0"/>
    <w:rsid w:val="0052297A"/>
    <w:rsid w:val="00522992"/>
    <w:rsid w:val="00522A51"/>
    <w:rsid w:val="00523452"/>
    <w:rsid w:val="00523C4F"/>
    <w:rsid w:val="00523E1B"/>
    <w:rsid w:val="00524517"/>
    <w:rsid w:val="005248B7"/>
    <w:rsid w:val="005249C5"/>
    <w:rsid w:val="00524CB1"/>
    <w:rsid w:val="00525244"/>
    <w:rsid w:val="0052539D"/>
    <w:rsid w:val="00525866"/>
    <w:rsid w:val="005277FE"/>
    <w:rsid w:val="00527A9F"/>
    <w:rsid w:val="00527D7E"/>
    <w:rsid w:val="00527F4C"/>
    <w:rsid w:val="00530BA6"/>
    <w:rsid w:val="00531937"/>
    <w:rsid w:val="00531999"/>
    <w:rsid w:val="00531C08"/>
    <w:rsid w:val="00532607"/>
    <w:rsid w:val="00532C20"/>
    <w:rsid w:val="00534502"/>
    <w:rsid w:val="00535056"/>
    <w:rsid w:val="00536017"/>
    <w:rsid w:val="0053651E"/>
    <w:rsid w:val="00537769"/>
    <w:rsid w:val="00537AF1"/>
    <w:rsid w:val="00540070"/>
    <w:rsid w:val="00541179"/>
    <w:rsid w:val="00543698"/>
    <w:rsid w:val="00543803"/>
    <w:rsid w:val="00543906"/>
    <w:rsid w:val="00543988"/>
    <w:rsid w:val="0054462D"/>
    <w:rsid w:val="00544DF4"/>
    <w:rsid w:val="00544E58"/>
    <w:rsid w:val="0054543E"/>
    <w:rsid w:val="00546014"/>
    <w:rsid w:val="0054692A"/>
    <w:rsid w:val="00546ADB"/>
    <w:rsid w:val="00547983"/>
    <w:rsid w:val="00547A27"/>
    <w:rsid w:val="00547AD7"/>
    <w:rsid w:val="00547E99"/>
    <w:rsid w:val="0055110F"/>
    <w:rsid w:val="0055132F"/>
    <w:rsid w:val="005523C8"/>
    <w:rsid w:val="0055275F"/>
    <w:rsid w:val="00554347"/>
    <w:rsid w:val="00554B22"/>
    <w:rsid w:val="00554D35"/>
    <w:rsid w:val="005550E8"/>
    <w:rsid w:val="0055560B"/>
    <w:rsid w:val="00555FCC"/>
    <w:rsid w:val="005563B1"/>
    <w:rsid w:val="0055695B"/>
    <w:rsid w:val="00560056"/>
    <w:rsid w:val="0056070F"/>
    <w:rsid w:val="0056074B"/>
    <w:rsid w:val="00560AF9"/>
    <w:rsid w:val="00560B26"/>
    <w:rsid w:val="00560B9C"/>
    <w:rsid w:val="00560E52"/>
    <w:rsid w:val="00561286"/>
    <w:rsid w:val="005620AD"/>
    <w:rsid w:val="00563B43"/>
    <w:rsid w:val="00563E49"/>
    <w:rsid w:val="00563E51"/>
    <w:rsid w:val="00564569"/>
    <w:rsid w:val="00565959"/>
    <w:rsid w:val="005679D7"/>
    <w:rsid w:val="00567B27"/>
    <w:rsid w:val="00570114"/>
    <w:rsid w:val="005704DC"/>
    <w:rsid w:val="00571552"/>
    <w:rsid w:val="005718D9"/>
    <w:rsid w:val="00571930"/>
    <w:rsid w:val="00572B64"/>
    <w:rsid w:val="00572C1F"/>
    <w:rsid w:val="0057420E"/>
    <w:rsid w:val="0057491D"/>
    <w:rsid w:val="005753AC"/>
    <w:rsid w:val="00575610"/>
    <w:rsid w:val="00575CDC"/>
    <w:rsid w:val="005762D3"/>
    <w:rsid w:val="0057688C"/>
    <w:rsid w:val="00576E63"/>
    <w:rsid w:val="00577FEA"/>
    <w:rsid w:val="005808C6"/>
    <w:rsid w:val="005838D4"/>
    <w:rsid w:val="00583F89"/>
    <w:rsid w:val="005842B5"/>
    <w:rsid w:val="00584E0D"/>
    <w:rsid w:val="0058506E"/>
    <w:rsid w:val="00585F3C"/>
    <w:rsid w:val="005867CF"/>
    <w:rsid w:val="0058709F"/>
    <w:rsid w:val="00587193"/>
    <w:rsid w:val="005907C6"/>
    <w:rsid w:val="00591763"/>
    <w:rsid w:val="005918B0"/>
    <w:rsid w:val="005921F9"/>
    <w:rsid w:val="00592E0E"/>
    <w:rsid w:val="0059319B"/>
    <w:rsid w:val="00593D62"/>
    <w:rsid w:val="005944F7"/>
    <w:rsid w:val="00595BAD"/>
    <w:rsid w:val="005967D1"/>
    <w:rsid w:val="00596C60"/>
    <w:rsid w:val="00597BFF"/>
    <w:rsid w:val="005A0501"/>
    <w:rsid w:val="005A0692"/>
    <w:rsid w:val="005A14B9"/>
    <w:rsid w:val="005A1A2E"/>
    <w:rsid w:val="005A233F"/>
    <w:rsid w:val="005A2730"/>
    <w:rsid w:val="005A2DE3"/>
    <w:rsid w:val="005A3160"/>
    <w:rsid w:val="005A354C"/>
    <w:rsid w:val="005A3E8C"/>
    <w:rsid w:val="005A49CF"/>
    <w:rsid w:val="005A4ABC"/>
    <w:rsid w:val="005A4D94"/>
    <w:rsid w:val="005A571A"/>
    <w:rsid w:val="005A5E69"/>
    <w:rsid w:val="005A72FB"/>
    <w:rsid w:val="005A7423"/>
    <w:rsid w:val="005A7C64"/>
    <w:rsid w:val="005B0366"/>
    <w:rsid w:val="005B12C0"/>
    <w:rsid w:val="005B15A2"/>
    <w:rsid w:val="005B1DB8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5D09"/>
    <w:rsid w:val="005B6439"/>
    <w:rsid w:val="005B756D"/>
    <w:rsid w:val="005C1D65"/>
    <w:rsid w:val="005C346E"/>
    <w:rsid w:val="005C352A"/>
    <w:rsid w:val="005C41E0"/>
    <w:rsid w:val="005C456E"/>
    <w:rsid w:val="005C47F7"/>
    <w:rsid w:val="005C4FCF"/>
    <w:rsid w:val="005C50AE"/>
    <w:rsid w:val="005C55EF"/>
    <w:rsid w:val="005C5A44"/>
    <w:rsid w:val="005C6641"/>
    <w:rsid w:val="005C6852"/>
    <w:rsid w:val="005C7302"/>
    <w:rsid w:val="005D0E79"/>
    <w:rsid w:val="005D0FBC"/>
    <w:rsid w:val="005D1C94"/>
    <w:rsid w:val="005D295E"/>
    <w:rsid w:val="005D334A"/>
    <w:rsid w:val="005D35D6"/>
    <w:rsid w:val="005D3A59"/>
    <w:rsid w:val="005D45A5"/>
    <w:rsid w:val="005D4A73"/>
    <w:rsid w:val="005D5CD3"/>
    <w:rsid w:val="005D6102"/>
    <w:rsid w:val="005D6843"/>
    <w:rsid w:val="005E0837"/>
    <w:rsid w:val="005E2B1D"/>
    <w:rsid w:val="005E315F"/>
    <w:rsid w:val="005E3A0F"/>
    <w:rsid w:val="005E4359"/>
    <w:rsid w:val="005E4682"/>
    <w:rsid w:val="005E4AB5"/>
    <w:rsid w:val="005E5D4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1AB6"/>
    <w:rsid w:val="005F1DC4"/>
    <w:rsid w:val="005F2D77"/>
    <w:rsid w:val="005F322D"/>
    <w:rsid w:val="005F3393"/>
    <w:rsid w:val="005F3C68"/>
    <w:rsid w:val="005F410A"/>
    <w:rsid w:val="005F4449"/>
    <w:rsid w:val="005F4539"/>
    <w:rsid w:val="005F5282"/>
    <w:rsid w:val="005F5A3C"/>
    <w:rsid w:val="005F5E2A"/>
    <w:rsid w:val="005F62E7"/>
    <w:rsid w:val="005F74A2"/>
    <w:rsid w:val="005F7955"/>
    <w:rsid w:val="006005F1"/>
    <w:rsid w:val="00600620"/>
    <w:rsid w:val="0060284F"/>
    <w:rsid w:val="00602EBD"/>
    <w:rsid w:val="00603156"/>
    <w:rsid w:val="006035FA"/>
    <w:rsid w:val="00603DF9"/>
    <w:rsid w:val="006042F2"/>
    <w:rsid w:val="00604C09"/>
    <w:rsid w:val="006054DE"/>
    <w:rsid w:val="00606BEA"/>
    <w:rsid w:val="00607090"/>
    <w:rsid w:val="00607A7B"/>
    <w:rsid w:val="00607B90"/>
    <w:rsid w:val="0061011C"/>
    <w:rsid w:val="0061097A"/>
    <w:rsid w:val="006115AC"/>
    <w:rsid w:val="00611DC8"/>
    <w:rsid w:val="00612059"/>
    <w:rsid w:val="00612A58"/>
    <w:rsid w:val="00612E32"/>
    <w:rsid w:val="006132A8"/>
    <w:rsid w:val="00613578"/>
    <w:rsid w:val="0061369A"/>
    <w:rsid w:val="006151E6"/>
    <w:rsid w:val="00616A45"/>
    <w:rsid w:val="00616BB8"/>
    <w:rsid w:val="00616D4D"/>
    <w:rsid w:val="00616DDF"/>
    <w:rsid w:val="0061762E"/>
    <w:rsid w:val="00621BA3"/>
    <w:rsid w:val="00621BCE"/>
    <w:rsid w:val="00621D28"/>
    <w:rsid w:val="00621D86"/>
    <w:rsid w:val="006221EE"/>
    <w:rsid w:val="00624C85"/>
    <w:rsid w:val="00624E3D"/>
    <w:rsid w:val="006252F8"/>
    <w:rsid w:val="00625794"/>
    <w:rsid w:val="00626363"/>
    <w:rsid w:val="00626420"/>
    <w:rsid w:val="0062723B"/>
    <w:rsid w:val="00627358"/>
    <w:rsid w:val="00627868"/>
    <w:rsid w:val="00627906"/>
    <w:rsid w:val="00627C08"/>
    <w:rsid w:val="00630D24"/>
    <w:rsid w:val="00631349"/>
    <w:rsid w:val="00632AE6"/>
    <w:rsid w:val="0063336C"/>
    <w:rsid w:val="00633DEE"/>
    <w:rsid w:val="00634D85"/>
    <w:rsid w:val="006358FE"/>
    <w:rsid w:val="00636004"/>
    <w:rsid w:val="00636362"/>
    <w:rsid w:val="00636664"/>
    <w:rsid w:val="00636B55"/>
    <w:rsid w:val="00636CF5"/>
    <w:rsid w:val="00636E9E"/>
    <w:rsid w:val="00637E1D"/>
    <w:rsid w:val="0064097F"/>
    <w:rsid w:val="00640D50"/>
    <w:rsid w:val="00641280"/>
    <w:rsid w:val="00641598"/>
    <w:rsid w:val="006426E8"/>
    <w:rsid w:val="00642E2E"/>
    <w:rsid w:val="00643583"/>
    <w:rsid w:val="00643D2F"/>
    <w:rsid w:val="00644219"/>
    <w:rsid w:val="006443BD"/>
    <w:rsid w:val="00644EC7"/>
    <w:rsid w:val="00645CC0"/>
    <w:rsid w:val="006474FD"/>
    <w:rsid w:val="00647FC2"/>
    <w:rsid w:val="00650FE7"/>
    <w:rsid w:val="00651257"/>
    <w:rsid w:val="00651AA0"/>
    <w:rsid w:val="006520DE"/>
    <w:rsid w:val="006523B5"/>
    <w:rsid w:val="00652718"/>
    <w:rsid w:val="006535A1"/>
    <w:rsid w:val="00654254"/>
    <w:rsid w:val="006542E6"/>
    <w:rsid w:val="0065440F"/>
    <w:rsid w:val="00655837"/>
    <w:rsid w:val="006559F5"/>
    <w:rsid w:val="00655C95"/>
    <w:rsid w:val="00656419"/>
    <w:rsid w:val="00656B67"/>
    <w:rsid w:val="00656DAC"/>
    <w:rsid w:val="00657724"/>
    <w:rsid w:val="00657A97"/>
    <w:rsid w:val="00657FB8"/>
    <w:rsid w:val="00661951"/>
    <w:rsid w:val="00661F4D"/>
    <w:rsid w:val="00662350"/>
    <w:rsid w:val="00662CF1"/>
    <w:rsid w:val="00663852"/>
    <w:rsid w:val="0066493B"/>
    <w:rsid w:val="0066562D"/>
    <w:rsid w:val="00665926"/>
    <w:rsid w:val="00666699"/>
    <w:rsid w:val="00667CD2"/>
    <w:rsid w:val="00670841"/>
    <w:rsid w:val="00670A9E"/>
    <w:rsid w:val="00670CAD"/>
    <w:rsid w:val="006711B9"/>
    <w:rsid w:val="0067235F"/>
    <w:rsid w:val="006726C8"/>
    <w:rsid w:val="0067270A"/>
    <w:rsid w:val="006734C4"/>
    <w:rsid w:val="00673C39"/>
    <w:rsid w:val="00674D4D"/>
    <w:rsid w:val="00674F7A"/>
    <w:rsid w:val="00674FA0"/>
    <w:rsid w:val="0067510C"/>
    <w:rsid w:val="00676C97"/>
    <w:rsid w:val="00676D63"/>
    <w:rsid w:val="00677BE8"/>
    <w:rsid w:val="006803C1"/>
    <w:rsid w:val="00680467"/>
    <w:rsid w:val="0068134C"/>
    <w:rsid w:val="006814DC"/>
    <w:rsid w:val="006819D6"/>
    <w:rsid w:val="00682014"/>
    <w:rsid w:val="00683361"/>
    <w:rsid w:val="00683E73"/>
    <w:rsid w:val="006845A0"/>
    <w:rsid w:val="00684765"/>
    <w:rsid w:val="00684D20"/>
    <w:rsid w:val="00685CD9"/>
    <w:rsid w:val="006868CD"/>
    <w:rsid w:val="006875E0"/>
    <w:rsid w:val="00687787"/>
    <w:rsid w:val="006878B4"/>
    <w:rsid w:val="00687FCE"/>
    <w:rsid w:val="006903F2"/>
    <w:rsid w:val="006907B5"/>
    <w:rsid w:val="0069130C"/>
    <w:rsid w:val="00691425"/>
    <w:rsid w:val="00691471"/>
    <w:rsid w:val="00692540"/>
    <w:rsid w:val="006938E5"/>
    <w:rsid w:val="00693CB2"/>
    <w:rsid w:val="0069401E"/>
    <w:rsid w:val="00694309"/>
    <w:rsid w:val="006947F0"/>
    <w:rsid w:val="0069495E"/>
    <w:rsid w:val="006951B5"/>
    <w:rsid w:val="00695F5F"/>
    <w:rsid w:val="0069605A"/>
    <w:rsid w:val="006966E7"/>
    <w:rsid w:val="00696FDD"/>
    <w:rsid w:val="00697651"/>
    <w:rsid w:val="006A145D"/>
    <w:rsid w:val="006A2A12"/>
    <w:rsid w:val="006A2AB7"/>
    <w:rsid w:val="006A4377"/>
    <w:rsid w:val="006A45A4"/>
    <w:rsid w:val="006A4F71"/>
    <w:rsid w:val="006A5540"/>
    <w:rsid w:val="006A55A1"/>
    <w:rsid w:val="006A75E3"/>
    <w:rsid w:val="006A778A"/>
    <w:rsid w:val="006A7926"/>
    <w:rsid w:val="006A7CB9"/>
    <w:rsid w:val="006B03E3"/>
    <w:rsid w:val="006B08B3"/>
    <w:rsid w:val="006B10B7"/>
    <w:rsid w:val="006B1490"/>
    <w:rsid w:val="006B3B77"/>
    <w:rsid w:val="006B3C22"/>
    <w:rsid w:val="006B3DF8"/>
    <w:rsid w:val="006B5538"/>
    <w:rsid w:val="006B5BBF"/>
    <w:rsid w:val="006B66C7"/>
    <w:rsid w:val="006B66F2"/>
    <w:rsid w:val="006B68A1"/>
    <w:rsid w:val="006C2AF5"/>
    <w:rsid w:val="006C4A70"/>
    <w:rsid w:val="006C4FA0"/>
    <w:rsid w:val="006C559B"/>
    <w:rsid w:val="006C5611"/>
    <w:rsid w:val="006C6B99"/>
    <w:rsid w:val="006C6DE4"/>
    <w:rsid w:val="006C73A9"/>
    <w:rsid w:val="006C758E"/>
    <w:rsid w:val="006C761D"/>
    <w:rsid w:val="006C7825"/>
    <w:rsid w:val="006D05BE"/>
    <w:rsid w:val="006D16EF"/>
    <w:rsid w:val="006D1BA6"/>
    <w:rsid w:val="006D1C29"/>
    <w:rsid w:val="006D200D"/>
    <w:rsid w:val="006D2548"/>
    <w:rsid w:val="006D27E1"/>
    <w:rsid w:val="006D3930"/>
    <w:rsid w:val="006D405B"/>
    <w:rsid w:val="006D4918"/>
    <w:rsid w:val="006D4F1B"/>
    <w:rsid w:val="006D55B6"/>
    <w:rsid w:val="006D6CB3"/>
    <w:rsid w:val="006E1717"/>
    <w:rsid w:val="006E1C47"/>
    <w:rsid w:val="006E211E"/>
    <w:rsid w:val="006E30E5"/>
    <w:rsid w:val="006E3DEB"/>
    <w:rsid w:val="006E438F"/>
    <w:rsid w:val="006E4CC3"/>
    <w:rsid w:val="006E4CC4"/>
    <w:rsid w:val="006E4F82"/>
    <w:rsid w:val="006E5757"/>
    <w:rsid w:val="006E5DF1"/>
    <w:rsid w:val="006E79F3"/>
    <w:rsid w:val="006E7FD2"/>
    <w:rsid w:val="006F0327"/>
    <w:rsid w:val="006F0589"/>
    <w:rsid w:val="006F078F"/>
    <w:rsid w:val="006F13DA"/>
    <w:rsid w:val="006F15D0"/>
    <w:rsid w:val="006F18DE"/>
    <w:rsid w:val="006F1DEF"/>
    <w:rsid w:val="006F2886"/>
    <w:rsid w:val="006F3344"/>
    <w:rsid w:val="006F5CA0"/>
    <w:rsid w:val="006F6D72"/>
    <w:rsid w:val="006F6FCA"/>
    <w:rsid w:val="006F70FD"/>
    <w:rsid w:val="006F7728"/>
    <w:rsid w:val="006F7E3B"/>
    <w:rsid w:val="007000C0"/>
    <w:rsid w:val="00700D21"/>
    <w:rsid w:val="00701297"/>
    <w:rsid w:val="00701C37"/>
    <w:rsid w:val="00702434"/>
    <w:rsid w:val="00702BD1"/>
    <w:rsid w:val="00702FC9"/>
    <w:rsid w:val="00703891"/>
    <w:rsid w:val="00704322"/>
    <w:rsid w:val="007048E1"/>
    <w:rsid w:val="00705720"/>
    <w:rsid w:val="0070671F"/>
    <w:rsid w:val="007075D8"/>
    <w:rsid w:val="0071139D"/>
    <w:rsid w:val="00711A8F"/>
    <w:rsid w:val="00711AE8"/>
    <w:rsid w:val="007127D1"/>
    <w:rsid w:val="00712E5C"/>
    <w:rsid w:val="007136B2"/>
    <w:rsid w:val="00714B85"/>
    <w:rsid w:val="007150CE"/>
    <w:rsid w:val="00715FAD"/>
    <w:rsid w:val="007162B9"/>
    <w:rsid w:val="007164B7"/>
    <w:rsid w:val="00716545"/>
    <w:rsid w:val="00717101"/>
    <w:rsid w:val="00717665"/>
    <w:rsid w:val="007176EE"/>
    <w:rsid w:val="0071773F"/>
    <w:rsid w:val="007178A8"/>
    <w:rsid w:val="00717AB8"/>
    <w:rsid w:val="00720416"/>
    <w:rsid w:val="0072080E"/>
    <w:rsid w:val="007208AB"/>
    <w:rsid w:val="0072182E"/>
    <w:rsid w:val="00721AE8"/>
    <w:rsid w:val="007225C3"/>
    <w:rsid w:val="00722E44"/>
    <w:rsid w:val="00723323"/>
    <w:rsid w:val="00724362"/>
    <w:rsid w:val="00724EE3"/>
    <w:rsid w:val="007250F5"/>
    <w:rsid w:val="00725B23"/>
    <w:rsid w:val="00725DA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339C"/>
    <w:rsid w:val="00733CEA"/>
    <w:rsid w:val="00734209"/>
    <w:rsid w:val="007342C7"/>
    <w:rsid w:val="00734D5C"/>
    <w:rsid w:val="00735D67"/>
    <w:rsid w:val="00736F49"/>
    <w:rsid w:val="00737134"/>
    <w:rsid w:val="00737242"/>
    <w:rsid w:val="007373D0"/>
    <w:rsid w:val="007374BC"/>
    <w:rsid w:val="00737A75"/>
    <w:rsid w:val="00737E68"/>
    <w:rsid w:val="0074062A"/>
    <w:rsid w:val="00741271"/>
    <w:rsid w:val="0074185F"/>
    <w:rsid w:val="0074216C"/>
    <w:rsid w:val="007423FE"/>
    <w:rsid w:val="00742DD2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776"/>
    <w:rsid w:val="007509C2"/>
    <w:rsid w:val="0075220D"/>
    <w:rsid w:val="007522A6"/>
    <w:rsid w:val="00753D77"/>
    <w:rsid w:val="007550D5"/>
    <w:rsid w:val="00755966"/>
    <w:rsid w:val="007559C5"/>
    <w:rsid w:val="00755C96"/>
    <w:rsid w:val="007564E1"/>
    <w:rsid w:val="007569FB"/>
    <w:rsid w:val="00756D83"/>
    <w:rsid w:val="00757FE9"/>
    <w:rsid w:val="00760CD4"/>
    <w:rsid w:val="007611A9"/>
    <w:rsid w:val="0076143A"/>
    <w:rsid w:val="00762BB8"/>
    <w:rsid w:val="00762FE9"/>
    <w:rsid w:val="00764A54"/>
    <w:rsid w:val="00764D34"/>
    <w:rsid w:val="00764F02"/>
    <w:rsid w:val="00767A50"/>
    <w:rsid w:val="00767CDC"/>
    <w:rsid w:val="007704D8"/>
    <w:rsid w:val="007708D3"/>
    <w:rsid w:val="00770EB8"/>
    <w:rsid w:val="00771315"/>
    <w:rsid w:val="007715A4"/>
    <w:rsid w:val="0077184B"/>
    <w:rsid w:val="00771A8C"/>
    <w:rsid w:val="0077251F"/>
    <w:rsid w:val="0077344C"/>
    <w:rsid w:val="00773548"/>
    <w:rsid w:val="00773551"/>
    <w:rsid w:val="00773C93"/>
    <w:rsid w:val="00773E51"/>
    <w:rsid w:val="0077436F"/>
    <w:rsid w:val="007750B3"/>
    <w:rsid w:val="0077537E"/>
    <w:rsid w:val="007759DB"/>
    <w:rsid w:val="00775A57"/>
    <w:rsid w:val="00775C54"/>
    <w:rsid w:val="0077681C"/>
    <w:rsid w:val="00776ED8"/>
    <w:rsid w:val="00777034"/>
    <w:rsid w:val="00777D62"/>
    <w:rsid w:val="007806A3"/>
    <w:rsid w:val="00780D6F"/>
    <w:rsid w:val="007819A2"/>
    <w:rsid w:val="00781B8D"/>
    <w:rsid w:val="00781E7B"/>
    <w:rsid w:val="00781FDF"/>
    <w:rsid w:val="007821B5"/>
    <w:rsid w:val="00782320"/>
    <w:rsid w:val="00782915"/>
    <w:rsid w:val="00783A4B"/>
    <w:rsid w:val="00783E8C"/>
    <w:rsid w:val="00783FD0"/>
    <w:rsid w:val="00784138"/>
    <w:rsid w:val="007866CD"/>
    <w:rsid w:val="00787BC9"/>
    <w:rsid w:val="00787BD5"/>
    <w:rsid w:val="00790C60"/>
    <w:rsid w:val="00792B49"/>
    <w:rsid w:val="007936F9"/>
    <w:rsid w:val="00794163"/>
    <w:rsid w:val="007951A0"/>
    <w:rsid w:val="0079536B"/>
    <w:rsid w:val="00796433"/>
    <w:rsid w:val="007966AB"/>
    <w:rsid w:val="00796764"/>
    <w:rsid w:val="00796C15"/>
    <w:rsid w:val="00796DEC"/>
    <w:rsid w:val="007975C2"/>
    <w:rsid w:val="00797FC7"/>
    <w:rsid w:val="007A0005"/>
    <w:rsid w:val="007A0B15"/>
    <w:rsid w:val="007A1637"/>
    <w:rsid w:val="007A1A14"/>
    <w:rsid w:val="007A1F00"/>
    <w:rsid w:val="007A2161"/>
    <w:rsid w:val="007A252F"/>
    <w:rsid w:val="007A2851"/>
    <w:rsid w:val="007A2EC8"/>
    <w:rsid w:val="007A41FF"/>
    <w:rsid w:val="007A5260"/>
    <w:rsid w:val="007A53A3"/>
    <w:rsid w:val="007A5AF9"/>
    <w:rsid w:val="007A5E61"/>
    <w:rsid w:val="007A6AC3"/>
    <w:rsid w:val="007A7019"/>
    <w:rsid w:val="007A73C4"/>
    <w:rsid w:val="007A765A"/>
    <w:rsid w:val="007A791C"/>
    <w:rsid w:val="007A79D6"/>
    <w:rsid w:val="007A7EB9"/>
    <w:rsid w:val="007B1549"/>
    <w:rsid w:val="007B1C11"/>
    <w:rsid w:val="007B24C2"/>
    <w:rsid w:val="007B2F65"/>
    <w:rsid w:val="007B2FCD"/>
    <w:rsid w:val="007B5810"/>
    <w:rsid w:val="007B5977"/>
    <w:rsid w:val="007B68FD"/>
    <w:rsid w:val="007B6BA6"/>
    <w:rsid w:val="007B6F00"/>
    <w:rsid w:val="007B7929"/>
    <w:rsid w:val="007C0801"/>
    <w:rsid w:val="007C1CB6"/>
    <w:rsid w:val="007C21BC"/>
    <w:rsid w:val="007C2611"/>
    <w:rsid w:val="007C2660"/>
    <w:rsid w:val="007C27D1"/>
    <w:rsid w:val="007C2CA3"/>
    <w:rsid w:val="007C377C"/>
    <w:rsid w:val="007C3FDF"/>
    <w:rsid w:val="007C521A"/>
    <w:rsid w:val="007C52D7"/>
    <w:rsid w:val="007C607D"/>
    <w:rsid w:val="007D0437"/>
    <w:rsid w:val="007D12C1"/>
    <w:rsid w:val="007D13C2"/>
    <w:rsid w:val="007D1546"/>
    <w:rsid w:val="007D17E3"/>
    <w:rsid w:val="007D1AEA"/>
    <w:rsid w:val="007D200D"/>
    <w:rsid w:val="007D4F07"/>
    <w:rsid w:val="007D632A"/>
    <w:rsid w:val="007D6B45"/>
    <w:rsid w:val="007D7239"/>
    <w:rsid w:val="007D7B7C"/>
    <w:rsid w:val="007E1330"/>
    <w:rsid w:val="007E145E"/>
    <w:rsid w:val="007E1C32"/>
    <w:rsid w:val="007E2772"/>
    <w:rsid w:val="007E2F85"/>
    <w:rsid w:val="007E3B8E"/>
    <w:rsid w:val="007E4A3E"/>
    <w:rsid w:val="007E4AC7"/>
    <w:rsid w:val="007E5473"/>
    <w:rsid w:val="007E567C"/>
    <w:rsid w:val="007E5D2E"/>
    <w:rsid w:val="007E5F4C"/>
    <w:rsid w:val="007E6015"/>
    <w:rsid w:val="007E6840"/>
    <w:rsid w:val="007E7C66"/>
    <w:rsid w:val="007F0D41"/>
    <w:rsid w:val="007F4045"/>
    <w:rsid w:val="007F423F"/>
    <w:rsid w:val="007F4A82"/>
    <w:rsid w:val="007F4B5B"/>
    <w:rsid w:val="007F4CE5"/>
    <w:rsid w:val="007F59CE"/>
    <w:rsid w:val="007F60E5"/>
    <w:rsid w:val="007F68AC"/>
    <w:rsid w:val="007F6D8B"/>
    <w:rsid w:val="007F6E18"/>
    <w:rsid w:val="007F6FB8"/>
    <w:rsid w:val="007F7A4A"/>
    <w:rsid w:val="00800796"/>
    <w:rsid w:val="008008E6"/>
    <w:rsid w:val="008020EF"/>
    <w:rsid w:val="0080235B"/>
    <w:rsid w:val="00802424"/>
    <w:rsid w:val="0080383C"/>
    <w:rsid w:val="00803AA8"/>
    <w:rsid w:val="00804677"/>
    <w:rsid w:val="008048BA"/>
    <w:rsid w:val="008061AC"/>
    <w:rsid w:val="00806F59"/>
    <w:rsid w:val="00807451"/>
    <w:rsid w:val="00811229"/>
    <w:rsid w:val="00811F21"/>
    <w:rsid w:val="00812A3D"/>
    <w:rsid w:val="00812AC4"/>
    <w:rsid w:val="00812C34"/>
    <w:rsid w:val="00814655"/>
    <w:rsid w:val="00814D10"/>
    <w:rsid w:val="0081580C"/>
    <w:rsid w:val="00815B79"/>
    <w:rsid w:val="00815E46"/>
    <w:rsid w:val="00817103"/>
    <w:rsid w:val="0081746C"/>
    <w:rsid w:val="00817F4C"/>
    <w:rsid w:val="00821173"/>
    <w:rsid w:val="00821BA4"/>
    <w:rsid w:val="008237DF"/>
    <w:rsid w:val="00823D5A"/>
    <w:rsid w:val="0082427C"/>
    <w:rsid w:val="00824D9B"/>
    <w:rsid w:val="00824F12"/>
    <w:rsid w:val="008258BA"/>
    <w:rsid w:val="0082617B"/>
    <w:rsid w:val="00826333"/>
    <w:rsid w:val="008278B8"/>
    <w:rsid w:val="00830061"/>
    <w:rsid w:val="008306AD"/>
    <w:rsid w:val="0083092C"/>
    <w:rsid w:val="00830958"/>
    <w:rsid w:val="00830DC9"/>
    <w:rsid w:val="00831145"/>
    <w:rsid w:val="008314CD"/>
    <w:rsid w:val="00831EA7"/>
    <w:rsid w:val="00832A15"/>
    <w:rsid w:val="00832A87"/>
    <w:rsid w:val="00832BB1"/>
    <w:rsid w:val="00833328"/>
    <w:rsid w:val="008334F0"/>
    <w:rsid w:val="008334FA"/>
    <w:rsid w:val="0083356A"/>
    <w:rsid w:val="00833821"/>
    <w:rsid w:val="00833B35"/>
    <w:rsid w:val="00833FC3"/>
    <w:rsid w:val="0083400C"/>
    <w:rsid w:val="008370B2"/>
    <w:rsid w:val="008372D0"/>
    <w:rsid w:val="008414FC"/>
    <w:rsid w:val="00841755"/>
    <w:rsid w:val="00841DD6"/>
    <w:rsid w:val="00843BAD"/>
    <w:rsid w:val="00843E53"/>
    <w:rsid w:val="00843EBD"/>
    <w:rsid w:val="00843F12"/>
    <w:rsid w:val="00845692"/>
    <w:rsid w:val="008459EA"/>
    <w:rsid w:val="00845F55"/>
    <w:rsid w:val="0084636B"/>
    <w:rsid w:val="00846829"/>
    <w:rsid w:val="00851F9F"/>
    <w:rsid w:val="00851FB0"/>
    <w:rsid w:val="00852CDB"/>
    <w:rsid w:val="008541E7"/>
    <w:rsid w:val="00854901"/>
    <w:rsid w:val="00854B16"/>
    <w:rsid w:val="00854C1F"/>
    <w:rsid w:val="00854DBF"/>
    <w:rsid w:val="008553FA"/>
    <w:rsid w:val="008554F4"/>
    <w:rsid w:val="0085697D"/>
    <w:rsid w:val="00856C9F"/>
    <w:rsid w:val="00857ADC"/>
    <w:rsid w:val="00857D02"/>
    <w:rsid w:val="00860A5F"/>
    <w:rsid w:val="00860D32"/>
    <w:rsid w:val="00861805"/>
    <w:rsid w:val="00861A35"/>
    <w:rsid w:val="00861B9B"/>
    <w:rsid w:val="00862D15"/>
    <w:rsid w:val="008635AC"/>
    <w:rsid w:val="008637D9"/>
    <w:rsid w:val="00863A68"/>
    <w:rsid w:val="00863CB7"/>
    <w:rsid w:val="0086411C"/>
    <w:rsid w:val="008644DF"/>
    <w:rsid w:val="00864CF3"/>
    <w:rsid w:val="00865417"/>
    <w:rsid w:val="0086629C"/>
    <w:rsid w:val="008677C2"/>
    <w:rsid w:val="00867889"/>
    <w:rsid w:val="00867B34"/>
    <w:rsid w:val="00867C69"/>
    <w:rsid w:val="0087319E"/>
    <w:rsid w:val="00873516"/>
    <w:rsid w:val="00873D5A"/>
    <w:rsid w:val="00875092"/>
    <w:rsid w:val="0087622F"/>
    <w:rsid w:val="0087630D"/>
    <w:rsid w:val="00876EEE"/>
    <w:rsid w:val="00880B80"/>
    <w:rsid w:val="00880D08"/>
    <w:rsid w:val="00880D73"/>
    <w:rsid w:val="008811F4"/>
    <w:rsid w:val="008817E5"/>
    <w:rsid w:val="0088194D"/>
    <w:rsid w:val="00881FF2"/>
    <w:rsid w:val="00882863"/>
    <w:rsid w:val="00883329"/>
    <w:rsid w:val="0088426D"/>
    <w:rsid w:val="00884362"/>
    <w:rsid w:val="00884CC1"/>
    <w:rsid w:val="008857A2"/>
    <w:rsid w:val="008866E3"/>
    <w:rsid w:val="00886BE7"/>
    <w:rsid w:val="00886F21"/>
    <w:rsid w:val="00887EA4"/>
    <w:rsid w:val="008928C0"/>
    <w:rsid w:val="00893438"/>
    <w:rsid w:val="00894108"/>
    <w:rsid w:val="008946FE"/>
    <w:rsid w:val="008952C7"/>
    <w:rsid w:val="00895680"/>
    <w:rsid w:val="008959EF"/>
    <w:rsid w:val="00895C6F"/>
    <w:rsid w:val="008969F4"/>
    <w:rsid w:val="00896C56"/>
    <w:rsid w:val="00896E50"/>
    <w:rsid w:val="00897404"/>
    <w:rsid w:val="00897677"/>
    <w:rsid w:val="00897A9C"/>
    <w:rsid w:val="008A0CB8"/>
    <w:rsid w:val="008A0E04"/>
    <w:rsid w:val="008A1FE1"/>
    <w:rsid w:val="008A295F"/>
    <w:rsid w:val="008A2B66"/>
    <w:rsid w:val="008A303F"/>
    <w:rsid w:val="008A3AFD"/>
    <w:rsid w:val="008A40CA"/>
    <w:rsid w:val="008A46F4"/>
    <w:rsid w:val="008A4AD8"/>
    <w:rsid w:val="008A4B91"/>
    <w:rsid w:val="008A5636"/>
    <w:rsid w:val="008A5F62"/>
    <w:rsid w:val="008A61C1"/>
    <w:rsid w:val="008A6E09"/>
    <w:rsid w:val="008A749E"/>
    <w:rsid w:val="008A74DE"/>
    <w:rsid w:val="008A773A"/>
    <w:rsid w:val="008A79FA"/>
    <w:rsid w:val="008B04C4"/>
    <w:rsid w:val="008B054A"/>
    <w:rsid w:val="008B05FD"/>
    <w:rsid w:val="008B1116"/>
    <w:rsid w:val="008B1294"/>
    <w:rsid w:val="008B1940"/>
    <w:rsid w:val="008B1B5F"/>
    <w:rsid w:val="008B24B5"/>
    <w:rsid w:val="008B2C97"/>
    <w:rsid w:val="008B2E45"/>
    <w:rsid w:val="008B3CA3"/>
    <w:rsid w:val="008B4EA1"/>
    <w:rsid w:val="008B4F62"/>
    <w:rsid w:val="008B5092"/>
    <w:rsid w:val="008B511F"/>
    <w:rsid w:val="008B52E6"/>
    <w:rsid w:val="008B52F3"/>
    <w:rsid w:val="008B5B6D"/>
    <w:rsid w:val="008B6B2C"/>
    <w:rsid w:val="008B7380"/>
    <w:rsid w:val="008B74FC"/>
    <w:rsid w:val="008B7523"/>
    <w:rsid w:val="008C09E9"/>
    <w:rsid w:val="008C0E72"/>
    <w:rsid w:val="008C182D"/>
    <w:rsid w:val="008C1A35"/>
    <w:rsid w:val="008C280A"/>
    <w:rsid w:val="008C2A79"/>
    <w:rsid w:val="008C3696"/>
    <w:rsid w:val="008C3842"/>
    <w:rsid w:val="008C3D09"/>
    <w:rsid w:val="008C40D1"/>
    <w:rsid w:val="008C4B6F"/>
    <w:rsid w:val="008C5FF0"/>
    <w:rsid w:val="008C7D10"/>
    <w:rsid w:val="008C7D1E"/>
    <w:rsid w:val="008C7DD6"/>
    <w:rsid w:val="008D01D3"/>
    <w:rsid w:val="008D0B3B"/>
    <w:rsid w:val="008D0E6D"/>
    <w:rsid w:val="008D128F"/>
    <w:rsid w:val="008D195B"/>
    <w:rsid w:val="008D1A36"/>
    <w:rsid w:val="008D1A72"/>
    <w:rsid w:val="008D2F52"/>
    <w:rsid w:val="008D3914"/>
    <w:rsid w:val="008D6432"/>
    <w:rsid w:val="008D7AAC"/>
    <w:rsid w:val="008E04A9"/>
    <w:rsid w:val="008E0C87"/>
    <w:rsid w:val="008E1139"/>
    <w:rsid w:val="008E2C06"/>
    <w:rsid w:val="008E2C22"/>
    <w:rsid w:val="008E2E7F"/>
    <w:rsid w:val="008E406C"/>
    <w:rsid w:val="008E439E"/>
    <w:rsid w:val="008E480D"/>
    <w:rsid w:val="008E54D7"/>
    <w:rsid w:val="008E7161"/>
    <w:rsid w:val="008E72D9"/>
    <w:rsid w:val="008E7501"/>
    <w:rsid w:val="008F05BC"/>
    <w:rsid w:val="008F0A99"/>
    <w:rsid w:val="008F2C08"/>
    <w:rsid w:val="008F2ED4"/>
    <w:rsid w:val="008F304D"/>
    <w:rsid w:val="008F3940"/>
    <w:rsid w:val="008F3DFB"/>
    <w:rsid w:val="008F52A6"/>
    <w:rsid w:val="008F5E06"/>
    <w:rsid w:val="008F66C9"/>
    <w:rsid w:val="008F6F2C"/>
    <w:rsid w:val="009013FD"/>
    <w:rsid w:val="0090268E"/>
    <w:rsid w:val="009028AE"/>
    <w:rsid w:val="00902963"/>
    <w:rsid w:val="00902ECC"/>
    <w:rsid w:val="0090426E"/>
    <w:rsid w:val="00904353"/>
    <w:rsid w:val="00904BA6"/>
    <w:rsid w:val="00904C56"/>
    <w:rsid w:val="00904ED6"/>
    <w:rsid w:val="00905A90"/>
    <w:rsid w:val="00905AB9"/>
    <w:rsid w:val="00905BBE"/>
    <w:rsid w:val="00906210"/>
    <w:rsid w:val="0090637E"/>
    <w:rsid w:val="009069DC"/>
    <w:rsid w:val="00906A9A"/>
    <w:rsid w:val="00906ECE"/>
    <w:rsid w:val="00907487"/>
    <w:rsid w:val="009077E2"/>
    <w:rsid w:val="00911191"/>
    <w:rsid w:val="00911DBF"/>
    <w:rsid w:val="0091202E"/>
    <w:rsid w:val="00912646"/>
    <w:rsid w:val="009129C0"/>
    <w:rsid w:val="00912B25"/>
    <w:rsid w:val="00912E83"/>
    <w:rsid w:val="00912EFD"/>
    <w:rsid w:val="00912FAB"/>
    <w:rsid w:val="009136DD"/>
    <w:rsid w:val="009137AC"/>
    <w:rsid w:val="00913C5F"/>
    <w:rsid w:val="009149B7"/>
    <w:rsid w:val="00915087"/>
    <w:rsid w:val="00915364"/>
    <w:rsid w:val="0091557D"/>
    <w:rsid w:val="00915B82"/>
    <w:rsid w:val="009160A7"/>
    <w:rsid w:val="0091636E"/>
    <w:rsid w:val="00917214"/>
    <w:rsid w:val="00917C56"/>
    <w:rsid w:val="009219FC"/>
    <w:rsid w:val="00921BD1"/>
    <w:rsid w:val="009224E3"/>
    <w:rsid w:val="0092260A"/>
    <w:rsid w:val="00922794"/>
    <w:rsid w:val="009233DE"/>
    <w:rsid w:val="00923437"/>
    <w:rsid w:val="0092497C"/>
    <w:rsid w:val="00925A07"/>
    <w:rsid w:val="0092603E"/>
    <w:rsid w:val="0092633F"/>
    <w:rsid w:val="009266EE"/>
    <w:rsid w:val="009267EE"/>
    <w:rsid w:val="00926A4E"/>
    <w:rsid w:val="00926D60"/>
    <w:rsid w:val="00930B68"/>
    <w:rsid w:val="009315C3"/>
    <w:rsid w:val="00931E4A"/>
    <w:rsid w:val="009329E9"/>
    <w:rsid w:val="00932D3C"/>
    <w:rsid w:val="009334CE"/>
    <w:rsid w:val="00933901"/>
    <w:rsid w:val="00933D70"/>
    <w:rsid w:val="00933DFA"/>
    <w:rsid w:val="0093468E"/>
    <w:rsid w:val="009348BB"/>
    <w:rsid w:val="00934EE1"/>
    <w:rsid w:val="00934FCA"/>
    <w:rsid w:val="00936628"/>
    <w:rsid w:val="00936F4B"/>
    <w:rsid w:val="009376DE"/>
    <w:rsid w:val="00937C3A"/>
    <w:rsid w:val="0094056A"/>
    <w:rsid w:val="00940696"/>
    <w:rsid w:val="00942067"/>
    <w:rsid w:val="009432A0"/>
    <w:rsid w:val="009436E8"/>
    <w:rsid w:val="009440FC"/>
    <w:rsid w:val="00944CAD"/>
    <w:rsid w:val="00945906"/>
    <w:rsid w:val="00945A18"/>
    <w:rsid w:val="00945D0A"/>
    <w:rsid w:val="0094662E"/>
    <w:rsid w:val="009477F0"/>
    <w:rsid w:val="0095030A"/>
    <w:rsid w:val="00950B89"/>
    <w:rsid w:val="00950D1A"/>
    <w:rsid w:val="00952EE9"/>
    <w:rsid w:val="00953898"/>
    <w:rsid w:val="00953B7C"/>
    <w:rsid w:val="00953FB1"/>
    <w:rsid w:val="0095473E"/>
    <w:rsid w:val="00954848"/>
    <w:rsid w:val="009559DE"/>
    <w:rsid w:val="0095650A"/>
    <w:rsid w:val="0095652A"/>
    <w:rsid w:val="00957717"/>
    <w:rsid w:val="00957FF4"/>
    <w:rsid w:val="00961483"/>
    <w:rsid w:val="009614AE"/>
    <w:rsid w:val="009618C9"/>
    <w:rsid w:val="00961940"/>
    <w:rsid w:val="00962D6A"/>
    <w:rsid w:val="0096356B"/>
    <w:rsid w:val="00964C3B"/>
    <w:rsid w:val="00964E67"/>
    <w:rsid w:val="00964F7B"/>
    <w:rsid w:val="00965929"/>
    <w:rsid w:val="009660A3"/>
    <w:rsid w:val="00967815"/>
    <w:rsid w:val="00967A47"/>
    <w:rsid w:val="00971763"/>
    <w:rsid w:val="0097285F"/>
    <w:rsid w:val="009732EA"/>
    <w:rsid w:val="00973308"/>
    <w:rsid w:val="00973607"/>
    <w:rsid w:val="00973C21"/>
    <w:rsid w:val="00973F55"/>
    <w:rsid w:val="00974188"/>
    <w:rsid w:val="00974FCB"/>
    <w:rsid w:val="00975143"/>
    <w:rsid w:val="0097586B"/>
    <w:rsid w:val="00975A20"/>
    <w:rsid w:val="00975BCF"/>
    <w:rsid w:val="009764B6"/>
    <w:rsid w:val="009766BC"/>
    <w:rsid w:val="00977E5B"/>
    <w:rsid w:val="00980090"/>
    <w:rsid w:val="00980168"/>
    <w:rsid w:val="00982784"/>
    <w:rsid w:val="009837A4"/>
    <w:rsid w:val="00983958"/>
    <w:rsid w:val="009840D0"/>
    <w:rsid w:val="00985670"/>
    <w:rsid w:val="009869D9"/>
    <w:rsid w:val="00986C22"/>
    <w:rsid w:val="009876C0"/>
    <w:rsid w:val="00987840"/>
    <w:rsid w:val="009900DC"/>
    <w:rsid w:val="0099093E"/>
    <w:rsid w:val="00991CB2"/>
    <w:rsid w:val="00991CFF"/>
    <w:rsid w:val="009924D5"/>
    <w:rsid w:val="009926E7"/>
    <w:rsid w:val="009929FD"/>
    <w:rsid w:val="0099301D"/>
    <w:rsid w:val="00993BF5"/>
    <w:rsid w:val="0099534D"/>
    <w:rsid w:val="00995899"/>
    <w:rsid w:val="00995A85"/>
    <w:rsid w:val="00995AB8"/>
    <w:rsid w:val="00997785"/>
    <w:rsid w:val="00997FC2"/>
    <w:rsid w:val="009A04C9"/>
    <w:rsid w:val="009A0A87"/>
    <w:rsid w:val="009A0E6D"/>
    <w:rsid w:val="009A1E36"/>
    <w:rsid w:val="009A2393"/>
    <w:rsid w:val="009A2453"/>
    <w:rsid w:val="009A3182"/>
    <w:rsid w:val="009A32F1"/>
    <w:rsid w:val="009A41F4"/>
    <w:rsid w:val="009A4FF9"/>
    <w:rsid w:val="009A5097"/>
    <w:rsid w:val="009A5DAD"/>
    <w:rsid w:val="009A633E"/>
    <w:rsid w:val="009A7B6E"/>
    <w:rsid w:val="009B0685"/>
    <w:rsid w:val="009B0AAF"/>
    <w:rsid w:val="009B0CE9"/>
    <w:rsid w:val="009B12AF"/>
    <w:rsid w:val="009B1F55"/>
    <w:rsid w:val="009B2125"/>
    <w:rsid w:val="009B309B"/>
    <w:rsid w:val="009B320E"/>
    <w:rsid w:val="009B3396"/>
    <w:rsid w:val="009B368D"/>
    <w:rsid w:val="009B3B4D"/>
    <w:rsid w:val="009B40FB"/>
    <w:rsid w:val="009B442F"/>
    <w:rsid w:val="009B5559"/>
    <w:rsid w:val="009B5ACF"/>
    <w:rsid w:val="009B6D3F"/>
    <w:rsid w:val="009B6FEC"/>
    <w:rsid w:val="009B7580"/>
    <w:rsid w:val="009B7CE6"/>
    <w:rsid w:val="009C0056"/>
    <w:rsid w:val="009C0B82"/>
    <w:rsid w:val="009C160C"/>
    <w:rsid w:val="009C1937"/>
    <w:rsid w:val="009C308B"/>
    <w:rsid w:val="009C32C6"/>
    <w:rsid w:val="009C42CF"/>
    <w:rsid w:val="009C4D9F"/>
    <w:rsid w:val="009C4E33"/>
    <w:rsid w:val="009C56E4"/>
    <w:rsid w:val="009C5856"/>
    <w:rsid w:val="009C6823"/>
    <w:rsid w:val="009D0E32"/>
    <w:rsid w:val="009D0F82"/>
    <w:rsid w:val="009D1265"/>
    <w:rsid w:val="009D3322"/>
    <w:rsid w:val="009D334C"/>
    <w:rsid w:val="009D42AC"/>
    <w:rsid w:val="009D4D1D"/>
    <w:rsid w:val="009D4E8D"/>
    <w:rsid w:val="009D4F6C"/>
    <w:rsid w:val="009D529F"/>
    <w:rsid w:val="009D555B"/>
    <w:rsid w:val="009D6333"/>
    <w:rsid w:val="009D65E7"/>
    <w:rsid w:val="009D6E00"/>
    <w:rsid w:val="009D6F81"/>
    <w:rsid w:val="009E02B9"/>
    <w:rsid w:val="009E0817"/>
    <w:rsid w:val="009E0CCC"/>
    <w:rsid w:val="009E0CCF"/>
    <w:rsid w:val="009E1295"/>
    <w:rsid w:val="009E1908"/>
    <w:rsid w:val="009E1CC1"/>
    <w:rsid w:val="009E2AA6"/>
    <w:rsid w:val="009E3651"/>
    <w:rsid w:val="009E48EE"/>
    <w:rsid w:val="009E4C0D"/>
    <w:rsid w:val="009E4C6A"/>
    <w:rsid w:val="009E5704"/>
    <w:rsid w:val="009E5714"/>
    <w:rsid w:val="009E5724"/>
    <w:rsid w:val="009E5CB8"/>
    <w:rsid w:val="009E5D7B"/>
    <w:rsid w:val="009E613E"/>
    <w:rsid w:val="009E66F6"/>
    <w:rsid w:val="009E7748"/>
    <w:rsid w:val="009E78F8"/>
    <w:rsid w:val="009E7D5E"/>
    <w:rsid w:val="009F0674"/>
    <w:rsid w:val="009F0AD3"/>
    <w:rsid w:val="009F0FA9"/>
    <w:rsid w:val="009F18BA"/>
    <w:rsid w:val="009F1ABA"/>
    <w:rsid w:val="009F1CBB"/>
    <w:rsid w:val="009F21D2"/>
    <w:rsid w:val="009F22BA"/>
    <w:rsid w:val="009F2472"/>
    <w:rsid w:val="009F2498"/>
    <w:rsid w:val="009F2DD1"/>
    <w:rsid w:val="009F38D3"/>
    <w:rsid w:val="009F3A73"/>
    <w:rsid w:val="009F4082"/>
    <w:rsid w:val="009F4CE1"/>
    <w:rsid w:val="009F530B"/>
    <w:rsid w:val="009F5E92"/>
    <w:rsid w:val="009F5EB5"/>
    <w:rsid w:val="009F7D1E"/>
    <w:rsid w:val="00A00B55"/>
    <w:rsid w:val="00A01045"/>
    <w:rsid w:val="00A015B5"/>
    <w:rsid w:val="00A024F5"/>
    <w:rsid w:val="00A02862"/>
    <w:rsid w:val="00A02BDE"/>
    <w:rsid w:val="00A02F3D"/>
    <w:rsid w:val="00A03DC8"/>
    <w:rsid w:val="00A05BD0"/>
    <w:rsid w:val="00A063EF"/>
    <w:rsid w:val="00A06442"/>
    <w:rsid w:val="00A06784"/>
    <w:rsid w:val="00A0723E"/>
    <w:rsid w:val="00A079C2"/>
    <w:rsid w:val="00A1076C"/>
    <w:rsid w:val="00A108EA"/>
    <w:rsid w:val="00A10D60"/>
    <w:rsid w:val="00A1156D"/>
    <w:rsid w:val="00A11B82"/>
    <w:rsid w:val="00A11BB5"/>
    <w:rsid w:val="00A11D5F"/>
    <w:rsid w:val="00A11F36"/>
    <w:rsid w:val="00A136E5"/>
    <w:rsid w:val="00A140DB"/>
    <w:rsid w:val="00A14AB5"/>
    <w:rsid w:val="00A14CC9"/>
    <w:rsid w:val="00A15765"/>
    <w:rsid w:val="00A15974"/>
    <w:rsid w:val="00A15C15"/>
    <w:rsid w:val="00A165A8"/>
    <w:rsid w:val="00A175C5"/>
    <w:rsid w:val="00A1769F"/>
    <w:rsid w:val="00A1794F"/>
    <w:rsid w:val="00A17BA3"/>
    <w:rsid w:val="00A20030"/>
    <w:rsid w:val="00A20A50"/>
    <w:rsid w:val="00A21165"/>
    <w:rsid w:val="00A21471"/>
    <w:rsid w:val="00A22900"/>
    <w:rsid w:val="00A22AB9"/>
    <w:rsid w:val="00A23000"/>
    <w:rsid w:val="00A234B8"/>
    <w:rsid w:val="00A2452D"/>
    <w:rsid w:val="00A24C24"/>
    <w:rsid w:val="00A24E18"/>
    <w:rsid w:val="00A250FE"/>
    <w:rsid w:val="00A2568D"/>
    <w:rsid w:val="00A25F53"/>
    <w:rsid w:val="00A2614E"/>
    <w:rsid w:val="00A27A1B"/>
    <w:rsid w:val="00A27B80"/>
    <w:rsid w:val="00A309B1"/>
    <w:rsid w:val="00A312C7"/>
    <w:rsid w:val="00A313D8"/>
    <w:rsid w:val="00A316E0"/>
    <w:rsid w:val="00A3170F"/>
    <w:rsid w:val="00A31E5C"/>
    <w:rsid w:val="00A324FA"/>
    <w:rsid w:val="00A325A4"/>
    <w:rsid w:val="00A32DE3"/>
    <w:rsid w:val="00A331F5"/>
    <w:rsid w:val="00A33CE2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8A8"/>
    <w:rsid w:val="00A4393C"/>
    <w:rsid w:val="00A439B2"/>
    <w:rsid w:val="00A44DCE"/>
    <w:rsid w:val="00A450EF"/>
    <w:rsid w:val="00A45858"/>
    <w:rsid w:val="00A45C54"/>
    <w:rsid w:val="00A46C34"/>
    <w:rsid w:val="00A477DD"/>
    <w:rsid w:val="00A512BF"/>
    <w:rsid w:val="00A51EF4"/>
    <w:rsid w:val="00A5307C"/>
    <w:rsid w:val="00A53BAA"/>
    <w:rsid w:val="00A54B32"/>
    <w:rsid w:val="00A551BE"/>
    <w:rsid w:val="00A56083"/>
    <w:rsid w:val="00A56371"/>
    <w:rsid w:val="00A56C97"/>
    <w:rsid w:val="00A571B3"/>
    <w:rsid w:val="00A5746B"/>
    <w:rsid w:val="00A575B1"/>
    <w:rsid w:val="00A57C7C"/>
    <w:rsid w:val="00A60031"/>
    <w:rsid w:val="00A6038A"/>
    <w:rsid w:val="00A60D45"/>
    <w:rsid w:val="00A61394"/>
    <w:rsid w:val="00A61838"/>
    <w:rsid w:val="00A61D1B"/>
    <w:rsid w:val="00A622F6"/>
    <w:rsid w:val="00A62662"/>
    <w:rsid w:val="00A62948"/>
    <w:rsid w:val="00A63150"/>
    <w:rsid w:val="00A63612"/>
    <w:rsid w:val="00A63D6E"/>
    <w:rsid w:val="00A64A5C"/>
    <w:rsid w:val="00A64AE3"/>
    <w:rsid w:val="00A65178"/>
    <w:rsid w:val="00A659F7"/>
    <w:rsid w:val="00A662BB"/>
    <w:rsid w:val="00A662CB"/>
    <w:rsid w:val="00A67284"/>
    <w:rsid w:val="00A67846"/>
    <w:rsid w:val="00A67D52"/>
    <w:rsid w:val="00A67E20"/>
    <w:rsid w:val="00A70457"/>
    <w:rsid w:val="00A70D38"/>
    <w:rsid w:val="00A71219"/>
    <w:rsid w:val="00A718F3"/>
    <w:rsid w:val="00A72545"/>
    <w:rsid w:val="00A72952"/>
    <w:rsid w:val="00A72EC9"/>
    <w:rsid w:val="00A74239"/>
    <w:rsid w:val="00A752B5"/>
    <w:rsid w:val="00A752E2"/>
    <w:rsid w:val="00A754B6"/>
    <w:rsid w:val="00A75C5A"/>
    <w:rsid w:val="00A765E4"/>
    <w:rsid w:val="00A766B7"/>
    <w:rsid w:val="00A7758E"/>
    <w:rsid w:val="00A777D7"/>
    <w:rsid w:val="00A822CC"/>
    <w:rsid w:val="00A82E56"/>
    <w:rsid w:val="00A8302C"/>
    <w:rsid w:val="00A83960"/>
    <w:rsid w:val="00A859A7"/>
    <w:rsid w:val="00A87849"/>
    <w:rsid w:val="00A91A33"/>
    <w:rsid w:val="00A91B4A"/>
    <w:rsid w:val="00A91DFB"/>
    <w:rsid w:val="00A9225D"/>
    <w:rsid w:val="00A9232D"/>
    <w:rsid w:val="00A93092"/>
    <w:rsid w:val="00A937BC"/>
    <w:rsid w:val="00A93D84"/>
    <w:rsid w:val="00A94951"/>
    <w:rsid w:val="00A94CBF"/>
    <w:rsid w:val="00A96723"/>
    <w:rsid w:val="00A97738"/>
    <w:rsid w:val="00AA0B97"/>
    <w:rsid w:val="00AA1550"/>
    <w:rsid w:val="00AA209B"/>
    <w:rsid w:val="00AA2272"/>
    <w:rsid w:val="00AA2442"/>
    <w:rsid w:val="00AA2AAF"/>
    <w:rsid w:val="00AA3A33"/>
    <w:rsid w:val="00AA3AD3"/>
    <w:rsid w:val="00AA3BAC"/>
    <w:rsid w:val="00AA568F"/>
    <w:rsid w:val="00AA58F5"/>
    <w:rsid w:val="00AA5949"/>
    <w:rsid w:val="00AA675E"/>
    <w:rsid w:val="00AA7B44"/>
    <w:rsid w:val="00AA7C36"/>
    <w:rsid w:val="00AB1219"/>
    <w:rsid w:val="00AB2459"/>
    <w:rsid w:val="00AB262E"/>
    <w:rsid w:val="00AB2E9C"/>
    <w:rsid w:val="00AB54F8"/>
    <w:rsid w:val="00AB6019"/>
    <w:rsid w:val="00AB657B"/>
    <w:rsid w:val="00AC0058"/>
    <w:rsid w:val="00AC15F3"/>
    <w:rsid w:val="00AC172A"/>
    <w:rsid w:val="00AC1A6C"/>
    <w:rsid w:val="00AC1FF3"/>
    <w:rsid w:val="00AC2A03"/>
    <w:rsid w:val="00AC2DCD"/>
    <w:rsid w:val="00AC3CBA"/>
    <w:rsid w:val="00AC4153"/>
    <w:rsid w:val="00AC43A7"/>
    <w:rsid w:val="00AC4491"/>
    <w:rsid w:val="00AC4599"/>
    <w:rsid w:val="00AC4609"/>
    <w:rsid w:val="00AC6CFF"/>
    <w:rsid w:val="00AC6D41"/>
    <w:rsid w:val="00AC6DD5"/>
    <w:rsid w:val="00AC6E2D"/>
    <w:rsid w:val="00AC7C4D"/>
    <w:rsid w:val="00AD0E75"/>
    <w:rsid w:val="00AD1783"/>
    <w:rsid w:val="00AD195C"/>
    <w:rsid w:val="00AD1C47"/>
    <w:rsid w:val="00AD1C58"/>
    <w:rsid w:val="00AD1CB7"/>
    <w:rsid w:val="00AD29E4"/>
    <w:rsid w:val="00AD2A87"/>
    <w:rsid w:val="00AD2DAD"/>
    <w:rsid w:val="00AD3F0E"/>
    <w:rsid w:val="00AD4269"/>
    <w:rsid w:val="00AD4A4D"/>
    <w:rsid w:val="00AD4AD1"/>
    <w:rsid w:val="00AD4B43"/>
    <w:rsid w:val="00AD531D"/>
    <w:rsid w:val="00AD6B3E"/>
    <w:rsid w:val="00AD6C61"/>
    <w:rsid w:val="00AD7B61"/>
    <w:rsid w:val="00AE03BB"/>
    <w:rsid w:val="00AE0C39"/>
    <w:rsid w:val="00AE0FB0"/>
    <w:rsid w:val="00AE129F"/>
    <w:rsid w:val="00AE24EA"/>
    <w:rsid w:val="00AE2A44"/>
    <w:rsid w:val="00AE2C9D"/>
    <w:rsid w:val="00AE2CA0"/>
    <w:rsid w:val="00AE3232"/>
    <w:rsid w:val="00AE39DE"/>
    <w:rsid w:val="00AE3A88"/>
    <w:rsid w:val="00AE3A94"/>
    <w:rsid w:val="00AE3FF9"/>
    <w:rsid w:val="00AE4014"/>
    <w:rsid w:val="00AE4395"/>
    <w:rsid w:val="00AE5440"/>
    <w:rsid w:val="00AE5A65"/>
    <w:rsid w:val="00AE6B8F"/>
    <w:rsid w:val="00AE6DC5"/>
    <w:rsid w:val="00AE6E8A"/>
    <w:rsid w:val="00AE6F55"/>
    <w:rsid w:val="00AE732B"/>
    <w:rsid w:val="00AE7BC2"/>
    <w:rsid w:val="00AF0798"/>
    <w:rsid w:val="00AF0A3C"/>
    <w:rsid w:val="00AF10FE"/>
    <w:rsid w:val="00AF2158"/>
    <w:rsid w:val="00AF22EF"/>
    <w:rsid w:val="00AF29A7"/>
    <w:rsid w:val="00AF2C6A"/>
    <w:rsid w:val="00AF3459"/>
    <w:rsid w:val="00AF34B8"/>
    <w:rsid w:val="00AF49A6"/>
    <w:rsid w:val="00AF5012"/>
    <w:rsid w:val="00AF58BA"/>
    <w:rsid w:val="00AF59AC"/>
    <w:rsid w:val="00AF5A99"/>
    <w:rsid w:val="00AF5B93"/>
    <w:rsid w:val="00AF6644"/>
    <w:rsid w:val="00AF6A16"/>
    <w:rsid w:val="00B00D0C"/>
    <w:rsid w:val="00B00F20"/>
    <w:rsid w:val="00B02D2A"/>
    <w:rsid w:val="00B0301B"/>
    <w:rsid w:val="00B0318D"/>
    <w:rsid w:val="00B03213"/>
    <w:rsid w:val="00B039B4"/>
    <w:rsid w:val="00B04614"/>
    <w:rsid w:val="00B04D03"/>
    <w:rsid w:val="00B04F55"/>
    <w:rsid w:val="00B06C25"/>
    <w:rsid w:val="00B06F86"/>
    <w:rsid w:val="00B07AC8"/>
    <w:rsid w:val="00B07B03"/>
    <w:rsid w:val="00B07D2A"/>
    <w:rsid w:val="00B07E76"/>
    <w:rsid w:val="00B122F6"/>
    <w:rsid w:val="00B12572"/>
    <w:rsid w:val="00B12C5A"/>
    <w:rsid w:val="00B1339E"/>
    <w:rsid w:val="00B13C0C"/>
    <w:rsid w:val="00B13F9D"/>
    <w:rsid w:val="00B160B8"/>
    <w:rsid w:val="00B20884"/>
    <w:rsid w:val="00B20E5F"/>
    <w:rsid w:val="00B22731"/>
    <w:rsid w:val="00B22A7E"/>
    <w:rsid w:val="00B234C8"/>
    <w:rsid w:val="00B23E15"/>
    <w:rsid w:val="00B25787"/>
    <w:rsid w:val="00B26CDA"/>
    <w:rsid w:val="00B27DAB"/>
    <w:rsid w:val="00B27F48"/>
    <w:rsid w:val="00B30414"/>
    <w:rsid w:val="00B307B9"/>
    <w:rsid w:val="00B30EFE"/>
    <w:rsid w:val="00B33193"/>
    <w:rsid w:val="00B33852"/>
    <w:rsid w:val="00B34F00"/>
    <w:rsid w:val="00B35421"/>
    <w:rsid w:val="00B360CE"/>
    <w:rsid w:val="00B374A6"/>
    <w:rsid w:val="00B37503"/>
    <w:rsid w:val="00B37C61"/>
    <w:rsid w:val="00B40082"/>
    <w:rsid w:val="00B40187"/>
    <w:rsid w:val="00B402B0"/>
    <w:rsid w:val="00B40954"/>
    <w:rsid w:val="00B40C77"/>
    <w:rsid w:val="00B410F3"/>
    <w:rsid w:val="00B42EB2"/>
    <w:rsid w:val="00B431E5"/>
    <w:rsid w:val="00B43913"/>
    <w:rsid w:val="00B4399A"/>
    <w:rsid w:val="00B4399D"/>
    <w:rsid w:val="00B450D0"/>
    <w:rsid w:val="00B45CE4"/>
    <w:rsid w:val="00B45E3A"/>
    <w:rsid w:val="00B462F0"/>
    <w:rsid w:val="00B46B64"/>
    <w:rsid w:val="00B47749"/>
    <w:rsid w:val="00B50516"/>
    <w:rsid w:val="00B50BF1"/>
    <w:rsid w:val="00B510B2"/>
    <w:rsid w:val="00B51CB1"/>
    <w:rsid w:val="00B52D91"/>
    <w:rsid w:val="00B53681"/>
    <w:rsid w:val="00B53F66"/>
    <w:rsid w:val="00B541A4"/>
    <w:rsid w:val="00B541A6"/>
    <w:rsid w:val="00B5424D"/>
    <w:rsid w:val="00B5466D"/>
    <w:rsid w:val="00B54EAD"/>
    <w:rsid w:val="00B562E6"/>
    <w:rsid w:val="00B6104F"/>
    <w:rsid w:val="00B62128"/>
    <w:rsid w:val="00B627DA"/>
    <w:rsid w:val="00B6381C"/>
    <w:rsid w:val="00B643AA"/>
    <w:rsid w:val="00B6546B"/>
    <w:rsid w:val="00B6565C"/>
    <w:rsid w:val="00B65783"/>
    <w:rsid w:val="00B65CA2"/>
    <w:rsid w:val="00B6632F"/>
    <w:rsid w:val="00B66A05"/>
    <w:rsid w:val="00B67191"/>
    <w:rsid w:val="00B67428"/>
    <w:rsid w:val="00B67832"/>
    <w:rsid w:val="00B67C8A"/>
    <w:rsid w:val="00B706F3"/>
    <w:rsid w:val="00B727D1"/>
    <w:rsid w:val="00B7359E"/>
    <w:rsid w:val="00B73719"/>
    <w:rsid w:val="00B7427C"/>
    <w:rsid w:val="00B7438D"/>
    <w:rsid w:val="00B7481E"/>
    <w:rsid w:val="00B7563D"/>
    <w:rsid w:val="00B76840"/>
    <w:rsid w:val="00B76DBC"/>
    <w:rsid w:val="00B778BE"/>
    <w:rsid w:val="00B77FFE"/>
    <w:rsid w:val="00B807BE"/>
    <w:rsid w:val="00B813C6"/>
    <w:rsid w:val="00B8162A"/>
    <w:rsid w:val="00B830BC"/>
    <w:rsid w:val="00B83B55"/>
    <w:rsid w:val="00B83EAD"/>
    <w:rsid w:val="00B84417"/>
    <w:rsid w:val="00B84911"/>
    <w:rsid w:val="00B850D9"/>
    <w:rsid w:val="00B85984"/>
    <w:rsid w:val="00B85CDD"/>
    <w:rsid w:val="00B85E34"/>
    <w:rsid w:val="00B86004"/>
    <w:rsid w:val="00B86550"/>
    <w:rsid w:val="00B865EB"/>
    <w:rsid w:val="00B869A8"/>
    <w:rsid w:val="00B86B65"/>
    <w:rsid w:val="00B872A0"/>
    <w:rsid w:val="00B909D2"/>
    <w:rsid w:val="00B90B20"/>
    <w:rsid w:val="00B91812"/>
    <w:rsid w:val="00B9182A"/>
    <w:rsid w:val="00B92918"/>
    <w:rsid w:val="00B93D19"/>
    <w:rsid w:val="00B950D3"/>
    <w:rsid w:val="00B95A84"/>
    <w:rsid w:val="00B95E61"/>
    <w:rsid w:val="00B969EC"/>
    <w:rsid w:val="00B96E42"/>
    <w:rsid w:val="00B97DF4"/>
    <w:rsid w:val="00BA0A0B"/>
    <w:rsid w:val="00BA0E45"/>
    <w:rsid w:val="00BA0F0E"/>
    <w:rsid w:val="00BA1057"/>
    <w:rsid w:val="00BA1A3F"/>
    <w:rsid w:val="00BA2A50"/>
    <w:rsid w:val="00BA30D3"/>
    <w:rsid w:val="00BA4381"/>
    <w:rsid w:val="00BA63F4"/>
    <w:rsid w:val="00BA68F6"/>
    <w:rsid w:val="00BA705D"/>
    <w:rsid w:val="00BA7842"/>
    <w:rsid w:val="00BB12FC"/>
    <w:rsid w:val="00BB2748"/>
    <w:rsid w:val="00BB43B0"/>
    <w:rsid w:val="00BB4653"/>
    <w:rsid w:val="00BB5516"/>
    <w:rsid w:val="00BB71D7"/>
    <w:rsid w:val="00BC0096"/>
    <w:rsid w:val="00BC08D3"/>
    <w:rsid w:val="00BC0914"/>
    <w:rsid w:val="00BC1F69"/>
    <w:rsid w:val="00BC2D0C"/>
    <w:rsid w:val="00BC48A8"/>
    <w:rsid w:val="00BC54A1"/>
    <w:rsid w:val="00BC5AF9"/>
    <w:rsid w:val="00BC5E44"/>
    <w:rsid w:val="00BC6C10"/>
    <w:rsid w:val="00BC75A7"/>
    <w:rsid w:val="00BD075A"/>
    <w:rsid w:val="00BD0A21"/>
    <w:rsid w:val="00BD0A76"/>
    <w:rsid w:val="00BD0EDB"/>
    <w:rsid w:val="00BD1622"/>
    <w:rsid w:val="00BD2270"/>
    <w:rsid w:val="00BD26A7"/>
    <w:rsid w:val="00BD2B11"/>
    <w:rsid w:val="00BD2C1D"/>
    <w:rsid w:val="00BD34C0"/>
    <w:rsid w:val="00BD354F"/>
    <w:rsid w:val="00BD66D9"/>
    <w:rsid w:val="00BD6B54"/>
    <w:rsid w:val="00BE0150"/>
    <w:rsid w:val="00BE060B"/>
    <w:rsid w:val="00BE0C04"/>
    <w:rsid w:val="00BE0CBF"/>
    <w:rsid w:val="00BE1848"/>
    <w:rsid w:val="00BE19B0"/>
    <w:rsid w:val="00BE36E1"/>
    <w:rsid w:val="00BE44F3"/>
    <w:rsid w:val="00BE4573"/>
    <w:rsid w:val="00BE53A5"/>
    <w:rsid w:val="00BE5B27"/>
    <w:rsid w:val="00BE616D"/>
    <w:rsid w:val="00BE62F3"/>
    <w:rsid w:val="00BE650F"/>
    <w:rsid w:val="00BE702F"/>
    <w:rsid w:val="00BE79A6"/>
    <w:rsid w:val="00BF032A"/>
    <w:rsid w:val="00BF2541"/>
    <w:rsid w:val="00BF2DB0"/>
    <w:rsid w:val="00BF2FBF"/>
    <w:rsid w:val="00BF38AC"/>
    <w:rsid w:val="00BF46A4"/>
    <w:rsid w:val="00BF486D"/>
    <w:rsid w:val="00BF48C5"/>
    <w:rsid w:val="00BF4D53"/>
    <w:rsid w:val="00C00370"/>
    <w:rsid w:val="00C008B5"/>
    <w:rsid w:val="00C00DA3"/>
    <w:rsid w:val="00C03659"/>
    <w:rsid w:val="00C03759"/>
    <w:rsid w:val="00C03D0F"/>
    <w:rsid w:val="00C04052"/>
    <w:rsid w:val="00C04999"/>
    <w:rsid w:val="00C04C7C"/>
    <w:rsid w:val="00C04F87"/>
    <w:rsid w:val="00C05CC2"/>
    <w:rsid w:val="00C0629C"/>
    <w:rsid w:val="00C07A37"/>
    <w:rsid w:val="00C12CC5"/>
    <w:rsid w:val="00C13134"/>
    <w:rsid w:val="00C1542D"/>
    <w:rsid w:val="00C16743"/>
    <w:rsid w:val="00C16CA9"/>
    <w:rsid w:val="00C16F1C"/>
    <w:rsid w:val="00C171EE"/>
    <w:rsid w:val="00C203F4"/>
    <w:rsid w:val="00C208E1"/>
    <w:rsid w:val="00C210ED"/>
    <w:rsid w:val="00C211B9"/>
    <w:rsid w:val="00C21772"/>
    <w:rsid w:val="00C222EF"/>
    <w:rsid w:val="00C2269F"/>
    <w:rsid w:val="00C22D8C"/>
    <w:rsid w:val="00C23287"/>
    <w:rsid w:val="00C23B88"/>
    <w:rsid w:val="00C23BAB"/>
    <w:rsid w:val="00C23D61"/>
    <w:rsid w:val="00C24EF5"/>
    <w:rsid w:val="00C25772"/>
    <w:rsid w:val="00C26037"/>
    <w:rsid w:val="00C2657B"/>
    <w:rsid w:val="00C266A8"/>
    <w:rsid w:val="00C26A79"/>
    <w:rsid w:val="00C272D4"/>
    <w:rsid w:val="00C2737B"/>
    <w:rsid w:val="00C3000D"/>
    <w:rsid w:val="00C30239"/>
    <w:rsid w:val="00C30783"/>
    <w:rsid w:val="00C31436"/>
    <w:rsid w:val="00C31E81"/>
    <w:rsid w:val="00C3210E"/>
    <w:rsid w:val="00C32B63"/>
    <w:rsid w:val="00C32CDA"/>
    <w:rsid w:val="00C32D74"/>
    <w:rsid w:val="00C34562"/>
    <w:rsid w:val="00C34859"/>
    <w:rsid w:val="00C34A6D"/>
    <w:rsid w:val="00C35119"/>
    <w:rsid w:val="00C359A9"/>
    <w:rsid w:val="00C35E9D"/>
    <w:rsid w:val="00C3637D"/>
    <w:rsid w:val="00C37FBD"/>
    <w:rsid w:val="00C4031C"/>
    <w:rsid w:val="00C409B4"/>
    <w:rsid w:val="00C41FF8"/>
    <w:rsid w:val="00C4215A"/>
    <w:rsid w:val="00C42238"/>
    <w:rsid w:val="00C4236C"/>
    <w:rsid w:val="00C43205"/>
    <w:rsid w:val="00C44204"/>
    <w:rsid w:val="00C4481F"/>
    <w:rsid w:val="00C45A7A"/>
    <w:rsid w:val="00C45D55"/>
    <w:rsid w:val="00C46AD4"/>
    <w:rsid w:val="00C46E0A"/>
    <w:rsid w:val="00C470D3"/>
    <w:rsid w:val="00C47909"/>
    <w:rsid w:val="00C50AB2"/>
    <w:rsid w:val="00C51BA8"/>
    <w:rsid w:val="00C52CA6"/>
    <w:rsid w:val="00C54951"/>
    <w:rsid w:val="00C54DFF"/>
    <w:rsid w:val="00C57135"/>
    <w:rsid w:val="00C57958"/>
    <w:rsid w:val="00C57F80"/>
    <w:rsid w:val="00C60115"/>
    <w:rsid w:val="00C605C4"/>
    <w:rsid w:val="00C60F5F"/>
    <w:rsid w:val="00C6225C"/>
    <w:rsid w:val="00C63E9B"/>
    <w:rsid w:val="00C6428F"/>
    <w:rsid w:val="00C6544A"/>
    <w:rsid w:val="00C656B7"/>
    <w:rsid w:val="00C65BA6"/>
    <w:rsid w:val="00C662EF"/>
    <w:rsid w:val="00C664B1"/>
    <w:rsid w:val="00C66CF0"/>
    <w:rsid w:val="00C67288"/>
    <w:rsid w:val="00C673BD"/>
    <w:rsid w:val="00C67B70"/>
    <w:rsid w:val="00C7042C"/>
    <w:rsid w:val="00C70986"/>
    <w:rsid w:val="00C72CA3"/>
    <w:rsid w:val="00C734D0"/>
    <w:rsid w:val="00C74330"/>
    <w:rsid w:val="00C74A06"/>
    <w:rsid w:val="00C74DAD"/>
    <w:rsid w:val="00C74ECF"/>
    <w:rsid w:val="00C75AC6"/>
    <w:rsid w:val="00C7645D"/>
    <w:rsid w:val="00C76968"/>
    <w:rsid w:val="00C76DB7"/>
    <w:rsid w:val="00C7759F"/>
    <w:rsid w:val="00C77731"/>
    <w:rsid w:val="00C8061A"/>
    <w:rsid w:val="00C80A77"/>
    <w:rsid w:val="00C81824"/>
    <w:rsid w:val="00C8465B"/>
    <w:rsid w:val="00C847EF"/>
    <w:rsid w:val="00C84EDF"/>
    <w:rsid w:val="00C85CAD"/>
    <w:rsid w:val="00C85E67"/>
    <w:rsid w:val="00C86031"/>
    <w:rsid w:val="00C86245"/>
    <w:rsid w:val="00C87480"/>
    <w:rsid w:val="00C876CB"/>
    <w:rsid w:val="00C9121E"/>
    <w:rsid w:val="00C93C48"/>
    <w:rsid w:val="00C941A4"/>
    <w:rsid w:val="00C9436B"/>
    <w:rsid w:val="00C947DC"/>
    <w:rsid w:val="00C95003"/>
    <w:rsid w:val="00C962CC"/>
    <w:rsid w:val="00C97B99"/>
    <w:rsid w:val="00C97CF9"/>
    <w:rsid w:val="00CA0B6E"/>
    <w:rsid w:val="00CA0E5C"/>
    <w:rsid w:val="00CA1B2A"/>
    <w:rsid w:val="00CA24D8"/>
    <w:rsid w:val="00CA37EF"/>
    <w:rsid w:val="00CA4D47"/>
    <w:rsid w:val="00CA4F0A"/>
    <w:rsid w:val="00CA4F66"/>
    <w:rsid w:val="00CA5304"/>
    <w:rsid w:val="00CA5F42"/>
    <w:rsid w:val="00CA6494"/>
    <w:rsid w:val="00CA722D"/>
    <w:rsid w:val="00CA7BEA"/>
    <w:rsid w:val="00CA7EC6"/>
    <w:rsid w:val="00CB0105"/>
    <w:rsid w:val="00CB0316"/>
    <w:rsid w:val="00CB0922"/>
    <w:rsid w:val="00CB1626"/>
    <w:rsid w:val="00CB1694"/>
    <w:rsid w:val="00CB1958"/>
    <w:rsid w:val="00CB3AD0"/>
    <w:rsid w:val="00CB3BDE"/>
    <w:rsid w:val="00CB41E6"/>
    <w:rsid w:val="00CB439E"/>
    <w:rsid w:val="00CB43A7"/>
    <w:rsid w:val="00CB5230"/>
    <w:rsid w:val="00CB7010"/>
    <w:rsid w:val="00CB72A3"/>
    <w:rsid w:val="00CB7FB9"/>
    <w:rsid w:val="00CC1299"/>
    <w:rsid w:val="00CC1C6D"/>
    <w:rsid w:val="00CC30F7"/>
    <w:rsid w:val="00CC4C7F"/>
    <w:rsid w:val="00CC6D0F"/>
    <w:rsid w:val="00CC6FF1"/>
    <w:rsid w:val="00CC7748"/>
    <w:rsid w:val="00CC7A08"/>
    <w:rsid w:val="00CD0471"/>
    <w:rsid w:val="00CD04F2"/>
    <w:rsid w:val="00CD16A5"/>
    <w:rsid w:val="00CD1CFA"/>
    <w:rsid w:val="00CD30D1"/>
    <w:rsid w:val="00CD317A"/>
    <w:rsid w:val="00CD3E5F"/>
    <w:rsid w:val="00CD47FB"/>
    <w:rsid w:val="00CD48E0"/>
    <w:rsid w:val="00CD5102"/>
    <w:rsid w:val="00CD572D"/>
    <w:rsid w:val="00CD6049"/>
    <w:rsid w:val="00CD6482"/>
    <w:rsid w:val="00CD658D"/>
    <w:rsid w:val="00CD7487"/>
    <w:rsid w:val="00CE1FB0"/>
    <w:rsid w:val="00CE2CBA"/>
    <w:rsid w:val="00CE3686"/>
    <w:rsid w:val="00CE3EFA"/>
    <w:rsid w:val="00CE60E7"/>
    <w:rsid w:val="00CE73C6"/>
    <w:rsid w:val="00CE73E3"/>
    <w:rsid w:val="00CF0091"/>
    <w:rsid w:val="00CF01B8"/>
    <w:rsid w:val="00CF0824"/>
    <w:rsid w:val="00CF1924"/>
    <w:rsid w:val="00CF1C15"/>
    <w:rsid w:val="00CF2EC6"/>
    <w:rsid w:val="00CF327E"/>
    <w:rsid w:val="00CF3B85"/>
    <w:rsid w:val="00CF4B0E"/>
    <w:rsid w:val="00CF4B83"/>
    <w:rsid w:val="00CF5E79"/>
    <w:rsid w:val="00CF6498"/>
    <w:rsid w:val="00CF654D"/>
    <w:rsid w:val="00CF6F3E"/>
    <w:rsid w:val="00D00BEC"/>
    <w:rsid w:val="00D0120C"/>
    <w:rsid w:val="00D01AC3"/>
    <w:rsid w:val="00D01BF0"/>
    <w:rsid w:val="00D025A6"/>
    <w:rsid w:val="00D039FD"/>
    <w:rsid w:val="00D04B1C"/>
    <w:rsid w:val="00D05133"/>
    <w:rsid w:val="00D05CC2"/>
    <w:rsid w:val="00D05DE4"/>
    <w:rsid w:val="00D073FF"/>
    <w:rsid w:val="00D07EBC"/>
    <w:rsid w:val="00D07ED4"/>
    <w:rsid w:val="00D104BE"/>
    <w:rsid w:val="00D117E3"/>
    <w:rsid w:val="00D11DF8"/>
    <w:rsid w:val="00D121A3"/>
    <w:rsid w:val="00D12FFA"/>
    <w:rsid w:val="00D14B69"/>
    <w:rsid w:val="00D14CC4"/>
    <w:rsid w:val="00D16088"/>
    <w:rsid w:val="00D16136"/>
    <w:rsid w:val="00D162FD"/>
    <w:rsid w:val="00D16A26"/>
    <w:rsid w:val="00D17680"/>
    <w:rsid w:val="00D17A23"/>
    <w:rsid w:val="00D200C8"/>
    <w:rsid w:val="00D20618"/>
    <w:rsid w:val="00D2167D"/>
    <w:rsid w:val="00D22682"/>
    <w:rsid w:val="00D22A50"/>
    <w:rsid w:val="00D233DA"/>
    <w:rsid w:val="00D23523"/>
    <w:rsid w:val="00D23969"/>
    <w:rsid w:val="00D23CCF"/>
    <w:rsid w:val="00D24B65"/>
    <w:rsid w:val="00D252ED"/>
    <w:rsid w:val="00D257D1"/>
    <w:rsid w:val="00D26183"/>
    <w:rsid w:val="00D27C97"/>
    <w:rsid w:val="00D30EB5"/>
    <w:rsid w:val="00D31508"/>
    <w:rsid w:val="00D32B3C"/>
    <w:rsid w:val="00D342A7"/>
    <w:rsid w:val="00D360B4"/>
    <w:rsid w:val="00D37970"/>
    <w:rsid w:val="00D4057D"/>
    <w:rsid w:val="00D40737"/>
    <w:rsid w:val="00D425A9"/>
    <w:rsid w:val="00D42F28"/>
    <w:rsid w:val="00D4355D"/>
    <w:rsid w:val="00D4394A"/>
    <w:rsid w:val="00D43AF3"/>
    <w:rsid w:val="00D43E84"/>
    <w:rsid w:val="00D4410E"/>
    <w:rsid w:val="00D44188"/>
    <w:rsid w:val="00D442CE"/>
    <w:rsid w:val="00D444F2"/>
    <w:rsid w:val="00D46F55"/>
    <w:rsid w:val="00D5059C"/>
    <w:rsid w:val="00D51701"/>
    <w:rsid w:val="00D51AC0"/>
    <w:rsid w:val="00D51E70"/>
    <w:rsid w:val="00D523FC"/>
    <w:rsid w:val="00D536DC"/>
    <w:rsid w:val="00D54833"/>
    <w:rsid w:val="00D548FB"/>
    <w:rsid w:val="00D54D08"/>
    <w:rsid w:val="00D56B76"/>
    <w:rsid w:val="00D57547"/>
    <w:rsid w:val="00D5757A"/>
    <w:rsid w:val="00D57A15"/>
    <w:rsid w:val="00D60CE5"/>
    <w:rsid w:val="00D61D90"/>
    <w:rsid w:val="00D62B64"/>
    <w:rsid w:val="00D62C8E"/>
    <w:rsid w:val="00D63C07"/>
    <w:rsid w:val="00D63EED"/>
    <w:rsid w:val="00D6485A"/>
    <w:rsid w:val="00D64CEA"/>
    <w:rsid w:val="00D64DA8"/>
    <w:rsid w:val="00D654C7"/>
    <w:rsid w:val="00D657E8"/>
    <w:rsid w:val="00D66A8C"/>
    <w:rsid w:val="00D702CB"/>
    <w:rsid w:val="00D70E43"/>
    <w:rsid w:val="00D7181F"/>
    <w:rsid w:val="00D71AFE"/>
    <w:rsid w:val="00D71E82"/>
    <w:rsid w:val="00D725F5"/>
    <w:rsid w:val="00D728B5"/>
    <w:rsid w:val="00D72C0D"/>
    <w:rsid w:val="00D73020"/>
    <w:rsid w:val="00D73885"/>
    <w:rsid w:val="00D746AA"/>
    <w:rsid w:val="00D74CCB"/>
    <w:rsid w:val="00D75757"/>
    <w:rsid w:val="00D765C0"/>
    <w:rsid w:val="00D77263"/>
    <w:rsid w:val="00D80802"/>
    <w:rsid w:val="00D81026"/>
    <w:rsid w:val="00D8103A"/>
    <w:rsid w:val="00D81475"/>
    <w:rsid w:val="00D8298A"/>
    <w:rsid w:val="00D83A6E"/>
    <w:rsid w:val="00D843F9"/>
    <w:rsid w:val="00D851F4"/>
    <w:rsid w:val="00D85AAA"/>
    <w:rsid w:val="00D85FA9"/>
    <w:rsid w:val="00D866A4"/>
    <w:rsid w:val="00D902DC"/>
    <w:rsid w:val="00D906BF"/>
    <w:rsid w:val="00D9083B"/>
    <w:rsid w:val="00D911A0"/>
    <w:rsid w:val="00D914DE"/>
    <w:rsid w:val="00D915BF"/>
    <w:rsid w:val="00D91754"/>
    <w:rsid w:val="00D91B68"/>
    <w:rsid w:val="00D92145"/>
    <w:rsid w:val="00D92276"/>
    <w:rsid w:val="00D92954"/>
    <w:rsid w:val="00D931FC"/>
    <w:rsid w:val="00D94062"/>
    <w:rsid w:val="00D95C43"/>
    <w:rsid w:val="00D95EFA"/>
    <w:rsid w:val="00D96A47"/>
    <w:rsid w:val="00D96AED"/>
    <w:rsid w:val="00D97302"/>
    <w:rsid w:val="00D97A93"/>
    <w:rsid w:val="00D97FB7"/>
    <w:rsid w:val="00DA16D7"/>
    <w:rsid w:val="00DA1F45"/>
    <w:rsid w:val="00DA2454"/>
    <w:rsid w:val="00DA2D79"/>
    <w:rsid w:val="00DA2FA7"/>
    <w:rsid w:val="00DA32E5"/>
    <w:rsid w:val="00DA36A8"/>
    <w:rsid w:val="00DA4453"/>
    <w:rsid w:val="00DA5A43"/>
    <w:rsid w:val="00DA635A"/>
    <w:rsid w:val="00DA6F89"/>
    <w:rsid w:val="00DA7719"/>
    <w:rsid w:val="00DA7995"/>
    <w:rsid w:val="00DB0167"/>
    <w:rsid w:val="00DB1188"/>
    <w:rsid w:val="00DB11D6"/>
    <w:rsid w:val="00DB16A4"/>
    <w:rsid w:val="00DB1EB8"/>
    <w:rsid w:val="00DB23EB"/>
    <w:rsid w:val="00DB3275"/>
    <w:rsid w:val="00DB3DF6"/>
    <w:rsid w:val="00DB3E04"/>
    <w:rsid w:val="00DB3EC8"/>
    <w:rsid w:val="00DB3FE4"/>
    <w:rsid w:val="00DB4051"/>
    <w:rsid w:val="00DB4343"/>
    <w:rsid w:val="00DB4872"/>
    <w:rsid w:val="00DB55AC"/>
    <w:rsid w:val="00DB57E1"/>
    <w:rsid w:val="00DB57EB"/>
    <w:rsid w:val="00DB68A2"/>
    <w:rsid w:val="00DB722E"/>
    <w:rsid w:val="00DB79AA"/>
    <w:rsid w:val="00DC02ED"/>
    <w:rsid w:val="00DC110A"/>
    <w:rsid w:val="00DC1F40"/>
    <w:rsid w:val="00DC233A"/>
    <w:rsid w:val="00DC296D"/>
    <w:rsid w:val="00DC2A87"/>
    <w:rsid w:val="00DC2E05"/>
    <w:rsid w:val="00DC359E"/>
    <w:rsid w:val="00DC48B5"/>
    <w:rsid w:val="00DC592B"/>
    <w:rsid w:val="00DC5BE6"/>
    <w:rsid w:val="00DC77E2"/>
    <w:rsid w:val="00DD19A8"/>
    <w:rsid w:val="00DD2C12"/>
    <w:rsid w:val="00DD2DD4"/>
    <w:rsid w:val="00DD3411"/>
    <w:rsid w:val="00DD3696"/>
    <w:rsid w:val="00DD3844"/>
    <w:rsid w:val="00DD3B08"/>
    <w:rsid w:val="00DD4307"/>
    <w:rsid w:val="00DD4439"/>
    <w:rsid w:val="00DD4552"/>
    <w:rsid w:val="00DD53BE"/>
    <w:rsid w:val="00DD6121"/>
    <w:rsid w:val="00DD64B2"/>
    <w:rsid w:val="00DD6834"/>
    <w:rsid w:val="00DD6F9E"/>
    <w:rsid w:val="00DD7818"/>
    <w:rsid w:val="00DE0127"/>
    <w:rsid w:val="00DE0452"/>
    <w:rsid w:val="00DE0B62"/>
    <w:rsid w:val="00DE1311"/>
    <w:rsid w:val="00DE19F9"/>
    <w:rsid w:val="00DE2373"/>
    <w:rsid w:val="00DE287A"/>
    <w:rsid w:val="00DE2E6E"/>
    <w:rsid w:val="00DE2F6E"/>
    <w:rsid w:val="00DE3A26"/>
    <w:rsid w:val="00DE40D7"/>
    <w:rsid w:val="00DE41B6"/>
    <w:rsid w:val="00DE4390"/>
    <w:rsid w:val="00DE491A"/>
    <w:rsid w:val="00DE5603"/>
    <w:rsid w:val="00DE5EE6"/>
    <w:rsid w:val="00DE6AF2"/>
    <w:rsid w:val="00DE6C08"/>
    <w:rsid w:val="00DE7805"/>
    <w:rsid w:val="00DE791F"/>
    <w:rsid w:val="00DF12EA"/>
    <w:rsid w:val="00DF2412"/>
    <w:rsid w:val="00DF2432"/>
    <w:rsid w:val="00DF24C0"/>
    <w:rsid w:val="00DF262E"/>
    <w:rsid w:val="00DF2999"/>
    <w:rsid w:val="00DF2E87"/>
    <w:rsid w:val="00DF2F86"/>
    <w:rsid w:val="00DF3287"/>
    <w:rsid w:val="00DF33E0"/>
    <w:rsid w:val="00DF35EC"/>
    <w:rsid w:val="00DF4457"/>
    <w:rsid w:val="00DF530D"/>
    <w:rsid w:val="00DF5460"/>
    <w:rsid w:val="00DF5972"/>
    <w:rsid w:val="00DF6B1F"/>
    <w:rsid w:val="00DF76C1"/>
    <w:rsid w:val="00DF7CF2"/>
    <w:rsid w:val="00E01CB6"/>
    <w:rsid w:val="00E01D02"/>
    <w:rsid w:val="00E02773"/>
    <w:rsid w:val="00E02E6D"/>
    <w:rsid w:val="00E03641"/>
    <w:rsid w:val="00E0370C"/>
    <w:rsid w:val="00E045F7"/>
    <w:rsid w:val="00E05693"/>
    <w:rsid w:val="00E067C1"/>
    <w:rsid w:val="00E069D1"/>
    <w:rsid w:val="00E071AA"/>
    <w:rsid w:val="00E07A92"/>
    <w:rsid w:val="00E07EA6"/>
    <w:rsid w:val="00E1010A"/>
    <w:rsid w:val="00E10285"/>
    <w:rsid w:val="00E11F68"/>
    <w:rsid w:val="00E1253D"/>
    <w:rsid w:val="00E1267A"/>
    <w:rsid w:val="00E12CAB"/>
    <w:rsid w:val="00E12F38"/>
    <w:rsid w:val="00E135AC"/>
    <w:rsid w:val="00E1397B"/>
    <w:rsid w:val="00E13FD7"/>
    <w:rsid w:val="00E140E1"/>
    <w:rsid w:val="00E1446D"/>
    <w:rsid w:val="00E149FF"/>
    <w:rsid w:val="00E15622"/>
    <w:rsid w:val="00E15C86"/>
    <w:rsid w:val="00E15DA0"/>
    <w:rsid w:val="00E17610"/>
    <w:rsid w:val="00E2041D"/>
    <w:rsid w:val="00E2165B"/>
    <w:rsid w:val="00E21677"/>
    <w:rsid w:val="00E218C0"/>
    <w:rsid w:val="00E21911"/>
    <w:rsid w:val="00E21A13"/>
    <w:rsid w:val="00E21C7B"/>
    <w:rsid w:val="00E22A95"/>
    <w:rsid w:val="00E22ADC"/>
    <w:rsid w:val="00E232D1"/>
    <w:rsid w:val="00E2399D"/>
    <w:rsid w:val="00E2425A"/>
    <w:rsid w:val="00E24812"/>
    <w:rsid w:val="00E2766E"/>
    <w:rsid w:val="00E27A55"/>
    <w:rsid w:val="00E27F79"/>
    <w:rsid w:val="00E300F2"/>
    <w:rsid w:val="00E30F98"/>
    <w:rsid w:val="00E31DDE"/>
    <w:rsid w:val="00E32F9C"/>
    <w:rsid w:val="00E33178"/>
    <w:rsid w:val="00E334B2"/>
    <w:rsid w:val="00E34522"/>
    <w:rsid w:val="00E34A04"/>
    <w:rsid w:val="00E34BE9"/>
    <w:rsid w:val="00E3505A"/>
    <w:rsid w:val="00E352FB"/>
    <w:rsid w:val="00E35808"/>
    <w:rsid w:val="00E370B3"/>
    <w:rsid w:val="00E370BC"/>
    <w:rsid w:val="00E37956"/>
    <w:rsid w:val="00E401F7"/>
    <w:rsid w:val="00E40AF6"/>
    <w:rsid w:val="00E40E63"/>
    <w:rsid w:val="00E41D43"/>
    <w:rsid w:val="00E43E38"/>
    <w:rsid w:val="00E44D6D"/>
    <w:rsid w:val="00E46074"/>
    <w:rsid w:val="00E46D4C"/>
    <w:rsid w:val="00E50706"/>
    <w:rsid w:val="00E513FD"/>
    <w:rsid w:val="00E5148F"/>
    <w:rsid w:val="00E518B3"/>
    <w:rsid w:val="00E5274B"/>
    <w:rsid w:val="00E53878"/>
    <w:rsid w:val="00E53F04"/>
    <w:rsid w:val="00E54E54"/>
    <w:rsid w:val="00E5557E"/>
    <w:rsid w:val="00E560B5"/>
    <w:rsid w:val="00E60410"/>
    <w:rsid w:val="00E60767"/>
    <w:rsid w:val="00E60B1A"/>
    <w:rsid w:val="00E61291"/>
    <w:rsid w:val="00E6298C"/>
    <w:rsid w:val="00E6355F"/>
    <w:rsid w:val="00E64202"/>
    <w:rsid w:val="00E64768"/>
    <w:rsid w:val="00E66084"/>
    <w:rsid w:val="00E664A1"/>
    <w:rsid w:val="00E66B2D"/>
    <w:rsid w:val="00E67037"/>
    <w:rsid w:val="00E678C0"/>
    <w:rsid w:val="00E67EB4"/>
    <w:rsid w:val="00E70A56"/>
    <w:rsid w:val="00E71FDA"/>
    <w:rsid w:val="00E721BB"/>
    <w:rsid w:val="00E7432C"/>
    <w:rsid w:val="00E74736"/>
    <w:rsid w:val="00E7673B"/>
    <w:rsid w:val="00E76856"/>
    <w:rsid w:val="00E77081"/>
    <w:rsid w:val="00E803B7"/>
    <w:rsid w:val="00E813AD"/>
    <w:rsid w:val="00E836FB"/>
    <w:rsid w:val="00E8422F"/>
    <w:rsid w:val="00E842B0"/>
    <w:rsid w:val="00E847A0"/>
    <w:rsid w:val="00E84A73"/>
    <w:rsid w:val="00E8512F"/>
    <w:rsid w:val="00E853AA"/>
    <w:rsid w:val="00E872E8"/>
    <w:rsid w:val="00E873D4"/>
    <w:rsid w:val="00E9140A"/>
    <w:rsid w:val="00E91D67"/>
    <w:rsid w:val="00E92AE4"/>
    <w:rsid w:val="00E932AF"/>
    <w:rsid w:val="00E93459"/>
    <w:rsid w:val="00E93C2B"/>
    <w:rsid w:val="00E93FD2"/>
    <w:rsid w:val="00E94099"/>
    <w:rsid w:val="00E94A79"/>
    <w:rsid w:val="00E94C19"/>
    <w:rsid w:val="00E95EB4"/>
    <w:rsid w:val="00E95EF9"/>
    <w:rsid w:val="00E9616D"/>
    <w:rsid w:val="00E9681F"/>
    <w:rsid w:val="00EA11BB"/>
    <w:rsid w:val="00EA12DC"/>
    <w:rsid w:val="00EA13EF"/>
    <w:rsid w:val="00EA1E43"/>
    <w:rsid w:val="00EA2ABA"/>
    <w:rsid w:val="00EA341C"/>
    <w:rsid w:val="00EA38CB"/>
    <w:rsid w:val="00EA4C1B"/>
    <w:rsid w:val="00EA61D3"/>
    <w:rsid w:val="00EA650C"/>
    <w:rsid w:val="00EA7283"/>
    <w:rsid w:val="00EA7323"/>
    <w:rsid w:val="00EB250A"/>
    <w:rsid w:val="00EB311E"/>
    <w:rsid w:val="00EB32E0"/>
    <w:rsid w:val="00EB5040"/>
    <w:rsid w:val="00EB5C69"/>
    <w:rsid w:val="00EB6935"/>
    <w:rsid w:val="00EB70C9"/>
    <w:rsid w:val="00EB7C21"/>
    <w:rsid w:val="00EB7FB5"/>
    <w:rsid w:val="00EC019C"/>
    <w:rsid w:val="00EC01F2"/>
    <w:rsid w:val="00EC2A65"/>
    <w:rsid w:val="00EC2D1B"/>
    <w:rsid w:val="00EC3775"/>
    <w:rsid w:val="00EC387C"/>
    <w:rsid w:val="00EC404E"/>
    <w:rsid w:val="00EC4948"/>
    <w:rsid w:val="00EC4FC3"/>
    <w:rsid w:val="00EC51B5"/>
    <w:rsid w:val="00EC51FD"/>
    <w:rsid w:val="00EC6055"/>
    <w:rsid w:val="00EC6E9E"/>
    <w:rsid w:val="00EC70DE"/>
    <w:rsid w:val="00ED022E"/>
    <w:rsid w:val="00ED17D0"/>
    <w:rsid w:val="00ED198F"/>
    <w:rsid w:val="00ED2156"/>
    <w:rsid w:val="00ED302C"/>
    <w:rsid w:val="00ED348C"/>
    <w:rsid w:val="00ED36AD"/>
    <w:rsid w:val="00ED401D"/>
    <w:rsid w:val="00ED49D6"/>
    <w:rsid w:val="00ED69F9"/>
    <w:rsid w:val="00ED6D22"/>
    <w:rsid w:val="00ED70F6"/>
    <w:rsid w:val="00ED7BF1"/>
    <w:rsid w:val="00ED7FBF"/>
    <w:rsid w:val="00EE0F04"/>
    <w:rsid w:val="00EE13E6"/>
    <w:rsid w:val="00EE187A"/>
    <w:rsid w:val="00EE28D6"/>
    <w:rsid w:val="00EE5145"/>
    <w:rsid w:val="00EE5256"/>
    <w:rsid w:val="00EE5C91"/>
    <w:rsid w:val="00EE6047"/>
    <w:rsid w:val="00EE6159"/>
    <w:rsid w:val="00EE798B"/>
    <w:rsid w:val="00EE7A57"/>
    <w:rsid w:val="00EF0F3E"/>
    <w:rsid w:val="00EF1041"/>
    <w:rsid w:val="00EF1EF8"/>
    <w:rsid w:val="00EF2CF9"/>
    <w:rsid w:val="00EF2F33"/>
    <w:rsid w:val="00EF5D7F"/>
    <w:rsid w:val="00EF66D0"/>
    <w:rsid w:val="00F02949"/>
    <w:rsid w:val="00F02A5D"/>
    <w:rsid w:val="00F02F60"/>
    <w:rsid w:val="00F03472"/>
    <w:rsid w:val="00F038D8"/>
    <w:rsid w:val="00F03DC7"/>
    <w:rsid w:val="00F03F48"/>
    <w:rsid w:val="00F042F8"/>
    <w:rsid w:val="00F04DAB"/>
    <w:rsid w:val="00F055E7"/>
    <w:rsid w:val="00F07F5F"/>
    <w:rsid w:val="00F107CF"/>
    <w:rsid w:val="00F1125A"/>
    <w:rsid w:val="00F11344"/>
    <w:rsid w:val="00F12AB8"/>
    <w:rsid w:val="00F12B7C"/>
    <w:rsid w:val="00F142A4"/>
    <w:rsid w:val="00F145C4"/>
    <w:rsid w:val="00F151AD"/>
    <w:rsid w:val="00F1679F"/>
    <w:rsid w:val="00F16CFA"/>
    <w:rsid w:val="00F16D04"/>
    <w:rsid w:val="00F17696"/>
    <w:rsid w:val="00F17BA1"/>
    <w:rsid w:val="00F20382"/>
    <w:rsid w:val="00F20620"/>
    <w:rsid w:val="00F20CD4"/>
    <w:rsid w:val="00F20F3B"/>
    <w:rsid w:val="00F2129D"/>
    <w:rsid w:val="00F212F5"/>
    <w:rsid w:val="00F21470"/>
    <w:rsid w:val="00F214B0"/>
    <w:rsid w:val="00F2157D"/>
    <w:rsid w:val="00F23095"/>
    <w:rsid w:val="00F2343B"/>
    <w:rsid w:val="00F238C4"/>
    <w:rsid w:val="00F25257"/>
    <w:rsid w:val="00F261C3"/>
    <w:rsid w:val="00F2707B"/>
    <w:rsid w:val="00F2758A"/>
    <w:rsid w:val="00F27674"/>
    <w:rsid w:val="00F27701"/>
    <w:rsid w:val="00F27750"/>
    <w:rsid w:val="00F27881"/>
    <w:rsid w:val="00F27E74"/>
    <w:rsid w:val="00F3097A"/>
    <w:rsid w:val="00F30BC4"/>
    <w:rsid w:val="00F31256"/>
    <w:rsid w:val="00F32178"/>
    <w:rsid w:val="00F331DD"/>
    <w:rsid w:val="00F33BB2"/>
    <w:rsid w:val="00F33E0C"/>
    <w:rsid w:val="00F34F7F"/>
    <w:rsid w:val="00F35026"/>
    <w:rsid w:val="00F35072"/>
    <w:rsid w:val="00F35530"/>
    <w:rsid w:val="00F35669"/>
    <w:rsid w:val="00F374D0"/>
    <w:rsid w:val="00F40AB2"/>
    <w:rsid w:val="00F40ACC"/>
    <w:rsid w:val="00F40CEB"/>
    <w:rsid w:val="00F411B2"/>
    <w:rsid w:val="00F414AE"/>
    <w:rsid w:val="00F417C1"/>
    <w:rsid w:val="00F42064"/>
    <w:rsid w:val="00F4379E"/>
    <w:rsid w:val="00F43893"/>
    <w:rsid w:val="00F43C06"/>
    <w:rsid w:val="00F4479D"/>
    <w:rsid w:val="00F4495E"/>
    <w:rsid w:val="00F46716"/>
    <w:rsid w:val="00F46A1E"/>
    <w:rsid w:val="00F4756F"/>
    <w:rsid w:val="00F477B6"/>
    <w:rsid w:val="00F5072F"/>
    <w:rsid w:val="00F5158F"/>
    <w:rsid w:val="00F51775"/>
    <w:rsid w:val="00F51BF4"/>
    <w:rsid w:val="00F52B4A"/>
    <w:rsid w:val="00F534AB"/>
    <w:rsid w:val="00F541E4"/>
    <w:rsid w:val="00F549D7"/>
    <w:rsid w:val="00F54C34"/>
    <w:rsid w:val="00F551D4"/>
    <w:rsid w:val="00F5797A"/>
    <w:rsid w:val="00F57B80"/>
    <w:rsid w:val="00F600C3"/>
    <w:rsid w:val="00F60BF5"/>
    <w:rsid w:val="00F60FF8"/>
    <w:rsid w:val="00F61404"/>
    <w:rsid w:val="00F61416"/>
    <w:rsid w:val="00F62FEB"/>
    <w:rsid w:val="00F63205"/>
    <w:rsid w:val="00F63593"/>
    <w:rsid w:val="00F64143"/>
    <w:rsid w:val="00F65845"/>
    <w:rsid w:val="00F65C2A"/>
    <w:rsid w:val="00F65EDB"/>
    <w:rsid w:val="00F66656"/>
    <w:rsid w:val="00F66D9F"/>
    <w:rsid w:val="00F66E50"/>
    <w:rsid w:val="00F6713E"/>
    <w:rsid w:val="00F671B6"/>
    <w:rsid w:val="00F70774"/>
    <w:rsid w:val="00F715F0"/>
    <w:rsid w:val="00F71BF2"/>
    <w:rsid w:val="00F71D18"/>
    <w:rsid w:val="00F727EB"/>
    <w:rsid w:val="00F72B7A"/>
    <w:rsid w:val="00F73A5A"/>
    <w:rsid w:val="00F74A0D"/>
    <w:rsid w:val="00F74A8B"/>
    <w:rsid w:val="00F74FAE"/>
    <w:rsid w:val="00F75EA2"/>
    <w:rsid w:val="00F77184"/>
    <w:rsid w:val="00F776F4"/>
    <w:rsid w:val="00F77B74"/>
    <w:rsid w:val="00F801EE"/>
    <w:rsid w:val="00F80535"/>
    <w:rsid w:val="00F8075D"/>
    <w:rsid w:val="00F80908"/>
    <w:rsid w:val="00F81EF8"/>
    <w:rsid w:val="00F84BC3"/>
    <w:rsid w:val="00F84D5A"/>
    <w:rsid w:val="00F8532B"/>
    <w:rsid w:val="00F86723"/>
    <w:rsid w:val="00F86A53"/>
    <w:rsid w:val="00F87370"/>
    <w:rsid w:val="00F8745B"/>
    <w:rsid w:val="00F876CA"/>
    <w:rsid w:val="00F9117E"/>
    <w:rsid w:val="00F91638"/>
    <w:rsid w:val="00F91A10"/>
    <w:rsid w:val="00F92BC3"/>
    <w:rsid w:val="00F93FEA"/>
    <w:rsid w:val="00F944BD"/>
    <w:rsid w:val="00F945A6"/>
    <w:rsid w:val="00F94738"/>
    <w:rsid w:val="00F9536C"/>
    <w:rsid w:val="00F9589D"/>
    <w:rsid w:val="00F97EBC"/>
    <w:rsid w:val="00FA1D4F"/>
    <w:rsid w:val="00FA252E"/>
    <w:rsid w:val="00FA31FA"/>
    <w:rsid w:val="00FA36C6"/>
    <w:rsid w:val="00FA3BFD"/>
    <w:rsid w:val="00FA4A5B"/>
    <w:rsid w:val="00FA4D8E"/>
    <w:rsid w:val="00FA53B1"/>
    <w:rsid w:val="00FA54E9"/>
    <w:rsid w:val="00FA5F1E"/>
    <w:rsid w:val="00FA6726"/>
    <w:rsid w:val="00FA6CFC"/>
    <w:rsid w:val="00FA7696"/>
    <w:rsid w:val="00FB0B9C"/>
    <w:rsid w:val="00FB1D91"/>
    <w:rsid w:val="00FB2124"/>
    <w:rsid w:val="00FB2162"/>
    <w:rsid w:val="00FB278F"/>
    <w:rsid w:val="00FB27DB"/>
    <w:rsid w:val="00FB4497"/>
    <w:rsid w:val="00FB4AB3"/>
    <w:rsid w:val="00FB50E7"/>
    <w:rsid w:val="00FB552C"/>
    <w:rsid w:val="00FB639C"/>
    <w:rsid w:val="00FB7984"/>
    <w:rsid w:val="00FB7DE0"/>
    <w:rsid w:val="00FC223A"/>
    <w:rsid w:val="00FC3E4C"/>
    <w:rsid w:val="00FC59B4"/>
    <w:rsid w:val="00FC682C"/>
    <w:rsid w:val="00FC7235"/>
    <w:rsid w:val="00FC763E"/>
    <w:rsid w:val="00FC7982"/>
    <w:rsid w:val="00FC7AA0"/>
    <w:rsid w:val="00FC7D2A"/>
    <w:rsid w:val="00FD00C2"/>
    <w:rsid w:val="00FD0AA7"/>
    <w:rsid w:val="00FD1E48"/>
    <w:rsid w:val="00FD36E6"/>
    <w:rsid w:val="00FD3A39"/>
    <w:rsid w:val="00FD3B55"/>
    <w:rsid w:val="00FD437B"/>
    <w:rsid w:val="00FD43A0"/>
    <w:rsid w:val="00FD6978"/>
    <w:rsid w:val="00FD70BC"/>
    <w:rsid w:val="00FE05B4"/>
    <w:rsid w:val="00FE0C3D"/>
    <w:rsid w:val="00FE0E64"/>
    <w:rsid w:val="00FE1350"/>
    <w:rsid w:val="00FE1468"/>
    <w:rsid w:val="00FE14A9"/>
    <w:rsid w:val="00FE1C57"/>
    <w:rsid w:val="00FE243C"/>
    <w:rsid w:val="00FE2B1B"/>
    <w:rsid w:val="00FE32D0"/>
    <w:rsid w:val="00FE3AC3"/>
    <w:rsid w:val="00FE3C60"/>
    <w:rsid w:val="00FE3E33"/>
    <w:rsid w:val="00FE40BD"/>
    <w:rsid w:val="00FE44BC"/>
    <w:rsid w:val="00FE4743"/>
    <w:rsid w:val="00FE5906"/>
    <w:rsid w:val="00FE7234"/>
    <w:rsid w:val="00FE7A21"/>
    <w:rsid w:val="00FE7D35"/>
    <w:rsid w:val="00FF0FEF"/>
    <w:rsid w:val="00FF1CA6"/>
    <w:rsid w:val="00FF1EF9"/>
    <w:rsid w:val="00FF34DD"/>
    <w:rsid w:val="00FF49BB"/>
    <w:rsid w:val="00FF5216"/>
    <w:rsid w:val="00FF554A"/>
    <w:rsid w:val="00FF56B7"/>
    <w:rsid w:val="00FF678F"/>
    <w:rsid w:val="00FF711C"/>
    <w:rsid w:val="00FF71D4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81A"/>
    <w:pPr>
      <w:spacing w:before="120" w:after="120" w:line="276" w:lineRule="auto"/>
    </w:pPr>
    <w:rPr>
      <w:rFonts w:ascii="Times New Roman" w:hAnsi="Times New Roman"/>
      <w:szCs w:val="22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uiPriority w:val="99"/>
    <w:qFormat/>
    <w:rsid w:val="008E406C"/>
    <w:pPr>
      <w:widowControl w:val="0"/>
      <w:numPr>
        <w:numId w:val="5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1EFD"/>
    <w:pPr>
      <w:keepNext/>
      <w:keepLines/>
      <w:numPr>
        <w:ilvl w:val="1"/>
        <w:numId w:val="5"/>
      </w:numPr>
      <w:spacing w:line="415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nhideWhenUsed/>
    <w:qFormat/>
    <w:rsid w:val="00A331F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line="240" w:lineRule="auto"/>
    </w:pPr>
    <w:rPr>
      <w:b/>
      <w:bCs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FootnoteReference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link w:val="TAHCar"/>
    <w:rsid w:val="00140E7D"/>
    <w:rPr>
      <w:b/>
    </w:rPr>
  </w:style>
  <w:style w:type="paragraph" w:customStyle="1" w:styleId="TAC">
    <w:name w:val="TAC"/>
    <w:basedOn w:val="Normal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NoSpacing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DefaultParagraphFont"/>
    <w:rsid w:val="00F212F5"/>
  </w:style>
  <w:style w:type="paragraph" w:styleId="ListParagraph">
    <w:name w:val="List Paragraph"/>
    <w:basedOn w:val="Normal"/>
    <w:link w:val="ListParagraphChar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331F5"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Normal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E7432C"/>
    <w:pPr>
      <w:spacing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rsid w:val="00CF0824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D1CED"/>
  </w:style>
  <w:style w:type="character" w:customStyle="1" w:styleId="apple-converted-space">
    <w:name w:val="apple-converted-space"/>
    <w:basedOn w:val="DefaultParagraphFont"/>
    <w:rsid w:val="00141E48"/>
  </w:style>
  <w:style w:type="character" w:customStyle="1" w:styleId="high-light">
    <w:name w:val="high-light"/>
    <w:basedOn w:val="DefaultParagraphFont"/>
    <w:rsid w:val="00B7427C"/>
  </w:style>
  <w:style w:type="paragraph" w:customStyle="1" w:styleId="Default">
    <w:name w:val="Default"/>
    <w:rsid w:val="0026295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2035">
    <w:name w:val="样式 正文缩进d + 首行缩进:  2 字符 段前: 0.35 行"/>
    <w:basedOn w:val="NormalIndent"/>
    <w:link w:val="d2035Char"/>
    <w:rsid w:val="0047223B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KaiTi_GB2312" w:cs="宋体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basedOn w:val="DefaultParagraphFont"/>
    <w:link w:val="d2035"/>
    <w:rsid w:val="0047223B"/>
    <w:rPr>
      <w:rFonts w:ascii="Times New Roman" w:eastAsia="KaiTi_GB2312" w:hAnsi="Times New Roman" w:cs="宋体"/>
      <w:snapToGrid w:val="0"/>
      <w:sz w:val="2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DC2A87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DC2A87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Normal"/>
    <w:qFormat/>
    <w:rsid w:val="00B122F6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0F1EFD"/>
    <w:rPr>
      <w:rFonts w:ascii="Cambria" w:hAnsi="Cambria"/>
      <w:b/>
      <w:bCs/>
      <w:sz w:val="32"/>
      <w:szCs w:val="32"/>
    </w:rPr>
  </w:style>
  <w:style w:type="paragraph" w:customStyle="1" w:styleId="4">
    <w:name w:val="样式4"/>
    <w:basedOn w:val="Heading1"/>
    <w:qFormat/>
    <w:rsid w:val="00261588"/>
    <w:pPr>
      <w:keepNext/>
      <w:keepLines/>
      <w:widowControl/>
      <w:numPr>
        <w:numId w:val="3"/>
      </w:numPr>
      <w:tabs>
        <w:tab w:val="left" w:pos="426"/>
      </w:tabs>
      <w:overflowPunct w:val="0"/>
      <w:spacing w:before="240" w:after="120" w:line="288" w:lineRule="auto"/>
      <w:jc w:val="both"/>
      <w:textAlignment w:val="baseline"/>
    </w:pPr>
    <w:rPr>
      <w:rFonts w:eastAsia="宋体"/>
      <w:sz w:val="24"/>
      <w:szCs w:val="24"/>
      <w:lang w:val="en-US"/>
    </w:rPr>
  </w:style>
  <w:style w:type="paragraph" w:customStyle="1" w:styleId="baseStyleRight">
    <w:name w:val="baseStyleRight"/>
    <w:basedOn w:val="Normal"/>
    <w:rsid w:val="00130AA3"/>
    <w:pPr>
      <w:spacing w:after="180" w:line="240" w:lineRule="auto"/>
      <w:jc w:val="right"/>
    </w:pPr>
    <w:rPr>
      <w:rFonts w:eastAsia="Times New Roman"/>
      <w:noProof/>
      <w:szCs w:val="20"/>
      <w:lang w:eastAsia="en-US"/>
    </w:rPr>
  </w:style>
  <w:style w:type="paragraph" w:customStyle="1" w:styleId="references0">
    <w:name w:val="references"/>
    <w:rsid w:val="00110529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A2393"/>
    <w:rPr>
      <w:kern w:val="2"/>
      <w:sz w:val="21"/>
      <w:szCs w:val="22"/>
    </w:rPr>
  </w:style>
  <w:style w:type="character" w:customStyle="1" w:styleId="def">
    <w:name w:val="def"/>
    <w:basedOn w:val="DefaultParagraphFont"/>
    <w:rsid w:val="004F7912"/>
  </w:style>
  <w:style w:type="paragraph" w:customStyle="1" w:styleId="References">
    <w:name w:val="References"/>
    <w:basedOn w:val="Normal"/>
    <w:rsid w:val="001D2389"/>
    <w:pPr>
      <w:numPr>
        <w:numId w:val="6"/>
      </w:numPr>
      <w:autoSpaceDE w:val="0"/>
      <w:autoSpaceDN w:val="0"/>
      <w:snapToGrid w:val="0"/>
      <w:spacing w:before="0" w:after="60" w:line="240" w:lineRule="auto"/>
      <w:jc w:val="both"/>
    </w:pPr>
    <w:rPr>
      <w:szCs w:val="16"/>
      <w:lang w:eastAsia="en-US"/>
    </w:rPr>
  </w:style>
  <w:style w:type="character" w:customStyle="1" w:styleId="TAHCar">
    <w:name w:val="TAH Car"/>
    <w:link w:val="TAH"/>
    <w:rsid w:val="00AB657B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635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65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5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1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4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91293-2D47-400B-8F64-0E91CB08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1215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Microsoft</Company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Thorsten</cp:lastModifiedBy>
  <cp:revision>3</cp:revision>
  <dcterms:created xsi:type="dcterms:W3CDTF">2017-05-05T07:41:00Z</dcterms:created>
  <dcterms:modified xsi:type="dcterms:W3CDTF">2017-05-05T09:07:00Z</dcterms:modified>
</cp:coreProperties>
</file>